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E27B8" w14:textId="63F9EB09" w:rsidR="008D10CB" w:rsidRPr="008D10CB" w:rsidRDefault="00894929" w:rsidP="008D10CB">
      <w:pPr>
        <w:pStyle w:val="Title"/>
      </w:pPr>
      <w:bookmarkStart w:id="0" w:name="_Ref448992977"/>
      <w:r>
        <w:t xml:space="preserve">King County </w:t>
      </w:r>
      <w:r w:rsidR="0092249A">
        <w:t>Greenhouse Gas Emissions</w:t>
      </w:r>
      <w:r>
        <w:t xml:space="preserve"> Inventory</w:t>
      </w:r>
      <w:r w:rsidR="008D10CB" w:rsidRPr="008D10CB">
        <w:tab/>
      </w:r>
    </w:p>
    <w:p w14:paraId="74C67ECE" w14:textId="779D2EF8" w:rsidR="008D10CB" w:rsidRPr="008D10CB" w:rsidRDefault="00E04C28" w:rsidP="008D10CB">
      <w:pPr>
        <w:pStyle w:val="Subtitle"/>
      </w:pPr>
      <w:r>
        <w:t>A 2015 Update</w:t>
      </w:r>
    </w:p>
    <w:p w14:paraId="7DFB912E" w14:textId="77777777" w:rsidR="008D10CB" w:rsidRDefault="008D10CB" w:rsidP="008D10CB"/>
    <w:p w14:paraId="36FD84BA" w14:textId="77777777" w:rsidR="008D10CB" w:rsidRDefault="008D10CB" w:rsidP="008D10CB"/>
    <w:p w14:paraId="36D9A684" w14:textId="77777777" w:rsidR="008D10CB" w:rsidRDefault="008D10CB" w:rsidP="008D10CB"/>
    <w:p w14:paraId="56D5F2B7" w14:textId="533CEBD5" w:rsidR="008D10CB" w:rsidRDefault="00766C3E" w:rsidP="008D10CB">
      <w:r>
        <w:t>October</w:t>
      </w:r>
      <w:bookmarkStart w:id="1" w:name="_GoBack"/>
      <w:bookmarkEnd w:id="1"/>
      <w:r w:rsidR="00E04C28">
        <w:t xml:space="preserve"> 2017</w:t>
      </w:r>
    </w:p>
    <w:p w14:paraId="3FCAE21C" w14:textId="02C0CD3D" w:rsidR="00E04C28" w:rsidRDefault="00E04C28" w:rsidP="008D10CB">
      <w:r>
        <w:t>Prepared for King County, Washington</w:t>
      </w:r>
    </w:p>
    <w:p w14:paraId="2205D400" w14:textId="77777777" w:rsidR="008D10CB" w:rsidRPr="00E65839" w:rsidRDefault="008D10CB" w:rsidP="008D10CB"/>
    <w:p w14:paraId="54A2BA79" w14:textId="77777777" w:rsidR="008D10CB" w:rsidRPr="00E65839" w:rsidRDefault="008D10CB" w:rsidP="008D10CB"/>
    <w:p w14:paraId="01D88FD3" w14:textId="7ED3B940" w:rsidR="008D10CB" w:rsidRDefault="008D10CB" w:rsidP="008D10CB">
      <w:r>
        <w:br w:type="page"/>
      </w:r>
    </w:p>
    <w:bookmarkEnd w:id="0"/>
    <w:p w14:paraId="565FED23" w14:textId="77777777" w:rsidR="008D10CB" w:rsidRPr="00ED7496" w:rsidRDefault="008D10CB" w:rsidP="00ED7496">
      <w:pPr>
        <w:rPr>
          <w:b/>
          <w:color w:val="9E5D29" w:themeColor="accent5" w:themeShade="BF"/>
          <w:sz w:val="36"/>
        </w:rPr>
      </w:pPr>
      <w:r w:rsidRPr="00ED7496">
        <w:rPr>
          <w:b/>
          <w:color w:val="9E5D29" w:themeColor="accent5" w:themeShade="BF"/>
          <w:sz w:val="36"/>
        </w:rPr>
        <w:lastRenderedPageBreak/>
        <w:t>Table of Contents</w:t>
      </w:r>
    </w:p>
    <w:p w14:paraId="4825B3E0" w14:textId="77777777" w:rsidR="00470A78" w:rsidRDefault="00470A78">
      <w:pPr>
        <w:pStyle w:val="TOC1"/>
        <w:tabs>
          <w:tab w:val="right" w:leader="dot" w:pos="9350"/>
        </w:tabs>
        <w:rPr>
          <w:rFonts w:eastAsiaTheme="minorEastAsia"/>
          <w:noProof/>
          <w:sz w:val="22"/>
        </w:rPr>
      </w:pPr>
      <w:r>
        <w:rPr>
          <w:b/>
          <w:sz w:val="22"/>
        </w:rPr>
        <w:fldChar w:fldCharType="begin"/>
      </w:r>
      <w:r>
        <w:rPr>
          <w:b/>
          <w:sz w:val="22"/>
        </w:rPr>
        <w:instrText xml:space="preserve"> TOC \o "1-2" </w:instrText>
      </w:r>
      <w:r>
        <w:rPr>
          <w:b/>
          <w:sz w:val="22"/>
        </w:rPr>
        <w:fldChar w:fldCharType="separate"/>
      </w:r>
      <w:r>
        <w:rPr>
          <w:noProof/>
        </w:rPr>
        <w:t>Executive Summary</w:t>
      </w:r>
      <w:r>
        <w:rPr>
          <w:noProof/>
        </w:rPr>
        <w:tab/>
      </w:r>
      <w:r>
        <w:rPr>
          <w:noProof/>
        </w:rPr>
        <w:fldChar w:fldCharType="begin"/>
      </w:r>
      <w:r>
        <w:rPr>
          <w:noProof/>
        </w:rPr>
        <w:instrText xml:space="preserve"> PAGEREF _Toc493104893 \h </w:instrText>
      </w:r>
      <w:r>
        <w:rPr>
          <w:noProof/>
        </w:rPr>
      </w:r>
      <w:r>
        <w:rPr>
          <w:noProof/>
        </w:rPr>
        <w:fldChar w:fldCharType="separate"/>
      </w:r>
      <w:r>
        <w:rPr>
          <w:noProof/>
        </w:rPr>
        <w:t>3</w:t>
      </w:r>
      <w:r>
        <w:rPr>
          <w:noProof/>
        </w:rPr>
        <w:fldChar w:fldCharType="end"/>
      </w:r>
    </w:p>
    <w:p w14:paraId="6972798E" w14:textId="77777777" w:rsidR="00470A78" w:rsidRDefault="00470A78">
      <w:pPr>
        <w:pStyle w:val="TOC2"/>
        <w:tabs>
          <w:tab w:val="right" w:leader="dot" w:pos="9350"/>
        </w:tabs>
        <w:rPr>
          <w:rFonts w:eastAsiaTheme="minorEastAsia"/>
          <w:noProof/>
          <w:sz w:val="22"/>
        </w:rPr>
      </w:pPr>
      <w:r>
        <w:rPr>
          <w:noProof/>
        </w:rPr>
        <w:t>Introduction</w:t>
      </w:r>
      <w:r>
        <w:rPr>
          <w:noProof/>
        </w:rPr>
        <w:tab/>
      </w:r>
      <w:r>
        <w:rPr>
          <w:noProof/>
        </w:rPr>
        <w:fldChar w:fldCharType="begin"/>
      </w:r>
      <w:r>
        <w:rPr>
          <w:noProof/>
        </w:rPr>
        <w:instrText xml:space="preserve"> PAGEREF _Toc493104894 \h </w:instrText>
      </w:r>
      <w:r>
        <w:rPr>
          <w:noProof/>
        </w:rPr>
      </w:r>
      <w:r>
        <w:rPr>
          <w:noProof/>
        </w:rPr>
        <w:fldChar w:fldCharType="separate"/>
      </w:r>
      <w:r>
        <w:rPr>
          <w:noProof/>
        </w:rPr>
        <w:t>3</w:t>
      </w:r>
      <w:r>
        <w:rPr>
          <w:noProof/>
        </w:rPr>
        <w:fldChar w:fldCharType="end"/>
      </w:r>
    </w:p>
    <w:p w14:paraId="67AE2CFA" w14:textId="77777777" w:rsidR="00470A78" w:rsidRDefault="00470A78">
      <w:pPr>
        <w:pStyle w:val="TOC2"/>
        <w:tabs>
          <w:tab w:val="right" w:leader="dot" w:pos="9350"/>
        </w:tabs>
        <w:rPr>
          <w:rFonts w:eastAsiaTheme="minorEastAsia"/>
          <w:noProof/>
          <w:sz w:val="22"/>
        </w:rPr>
      </w:pPr>
      <w:r>
        <w:rPr>
          <w:noProof/>
        </w:rPr>
        <w:t>2015 Geographic-Plus Inventory Findings</w:t>
      </w:r>
      <w:r>
        <w:rPr>
          <w:noProof/>
        </w:rPr>
        <w:tab/>
      </w:r>
      <w:r>
        <w:rPr>
          <w:noProof/>
        </w:rPr>
        <w:fldChar w:fldCharType="begin"/>
      </w:r>
      <w:r>
        <w:rPr>
          <w:noProof/>
        </w:rPr>
        <w:instrText xml:space="preserve"> PAGEREF _Toc493104895 \h </w:instrText>
      </w:r>
      <w:r>
        <w:rPr>
          <w:noProof/>
        </w:rPr>
      </w:r>
      <w:r>
        <w:rPr>
          <w:noProof/>
        </w:rPr>
        <w:fldChar w:fldCharType="separate"/>
      </w:r>
      <w:r>
        <w:rPr>
          <w:noProof/>
        </w:rPr>
        <w:t>4</w:t>
      </w:r>
      <w:r>
        <w:rPr>
          <w:noProof/>
        </w:rPr>
        <w:fldChar w:fldCharType="end"/>
      </w:r>
    </w:p>
    <w:p w14:paraId="20005E58" w14:textId="77777777" w:rsidR="00470A78" w:rsidRDefault="00470A78">
      <w:pPr>
        <w:pStyle w:val="TOC2"/>
        <w:tabs>
          <w:tab w:val="right" w:leader="dot" w:pos="9350"/>
        </w:tabs>
        <w:rPr>
          <w:rFonts w:eastAsiaTheme="minorEastAsia"/>
          <w:noProof/>
          <w:sz w:val="22"/>
        </w:rPr>
      </w:pPr>
      <w:r>
        <w:rPr>
          <w:noProof/>
        </w:rPr>
        <w:t>2015 Consumption-Based Inventory Findings</w:t>
      </w:r>
      <w:r>
        <w:rPr>
          <w:noProof/>
        </w:rPr>
        <w:tab/>
      </w:r>
      <w:r>
        <w:rPr>
          <w:noProof/>
        </w:rPr>
        <w:fldChar w:fldCharType="begin"/>
      </w:r>
      <w:r>
        <w:rPr>
          <w:noProof/>
        </w:rPr>
        <w:instrText xml:space="preserve"> PAGEREF _Toc493104896 \h </w:instrText>
      </w:r>
      <w:r>
        <w:rPr>
          <w:noProof/>
        </w:rPr>
      </w:r>
      <w:r>
        <w:rPr>
          <w:noProof/>
        </w:rPr>
        <w:fldChar w:fldCharType="separate"/>
      </w:r>
      <w:r>
        <w:rPr>
          <w:noProof/>
        </w:rPr>
        <w:t>7</w:t>
      </w:r>
      <w:r>
        <w:rPr>
          <w:noProof/>
        </w:rPr>
        <w:fldChar w:fldCharType="end"/>
      </w:r>
    </w:p>
    <w:p w14:paraId="4930228C" w14:textId="77777777" w:rsidR="00470A78" w:rsidRDefault="00470A78">
      <w:pPr>
        <w:pStyle w:val="TOC1"/>
        <w:tabs>
          <w:tab w:val="right" w:leader="dot" w:pos="9350"/>
        </w:tabs>
        <w:rPr>
          <w:rFonts w:eastAsiaTheme="minorEastAsia"/>
          <w:noProof/>
          <w:sz w:val="22"/>
        </w:rPr>
      </w:pPr>
      <w:r>
        <w:rPr>
          <w:noProof/>
        </w:rPr>
        <w:t>Acronyms</w:t>
      </w:r>
      <w:r>
        <w:rPr>
          <w:noProof/>
        </w:rPr>
        <w:tab/>
      </w:r>
      <w:r>
        <w:rPr>
          <w:noProof/>
        </w:rPr>
        <w:fldChar w:fldCharType="begin"/>
      </w:r>
      <w:r>
        <w:rPr>
          <w:noProof/>
        </w:rPr>
        <w:instrText xml:space="preserve"> PAGEREF _Toc493104897 \h </w:instrText>
      </w:r>
      <w:r>
        <w:rPr>
          <w:noProof/>
        </w:rPr>
      </w:r>
      <w:r>
        <w:rPr>
          <w:noProof/>
        </w:rPr>
        <w:fldChar w:fldCharType="separate"/>
      </w:r>
      <w:r>
        <w:rPr>
          <w:noProof/>
        </w:rPr>
        <w:t>8</w:t>
      </w:r>
      <w:r>
        <w:rPr>
          <w:noProof/>
        </w:rPr>
        <w:fldChar w:fldCharType="end"/>
      </w:r>
    </w:p>
    <w:p w14:paraId="56AA20C3" w14:textId="77777777" w:rsidR="00470A78" w:rsidRDefault="00470A78">
      <w:pPr>
        <w:pStyle w:val="TOC1"/>
        <w:tabs>
          <w:tab w:val="right" w:leader="dot" w:pos="9350"/>
        </w:tabs>
        <w:rPr>
          <w:rFonts w:eastAsiaTheme="minorEastAsia"/>
          <w:noProof/>
          <w:sz w:val="22"/>
        </w:rPr>
      </w:pPr>
      <w:r>
        <w:rPr>
          <w:noProof/>
        </w:rPr>
        <w:t>Introduction and Context</w:t>
      </w:r>
      <w:r>
        <w:rPr>
          <w:noProof/>
        </w:rPr>
        <w:tab/>
      </w:r>
      <w:r>
        <w:rPr>
          <w:noProof/>
        </w:rPr>
        <w:fldChar w:fldCharType="begin"/>
      </w:r>
      <w:r>
        <w:rPr>
          <w:noProof/>
        </w:rPr>
        <w:instrText xml:space="preserve"> PAGEREF _Toc493104898 \h </w:instrText>
      </w:r>
      <w:r>
        <w:rPr>
          <w:noProof/>
        </w:rPr>
      </w:r>
      <w:r>
        <w:rPr>
          <w:noProof/>
        </w:rPr>
        <w:fldChar w:fldCharType="separate"/>
      </w:r>
      <w:r>
        <w:rPr>
          <w:noProof/>
        </w:rPr>
        <w:t>9</w:t>
      </w:r>
      <w:r>
        <w:rPr>
          <w:noProof/>
        </w:rPr>
        <w:fldChar w:fldCharType="end"/>
      </w:r>
    </w:p>
    <w:p w14:paraId="57B7B2C1" w14:textId="77777777" w:rsidR="00470A78" w:rsidRDefault="00470A78">
      <w:pPr>
        <w:pStyle w:val="TOC2"/>
        <w:tabs>
          <w:tab w:val="right" w:leader="dot" w:pos="9350"/>
        </w:tabs>
        <w:rPr>
          <w:rFonts w:eastAsiaTheme="minorEastAsia"/>
          <w:noProof/>
          <w:sz w:val="22"/>
        </w:rPr>
      </w:pPr>
      <w:r>
        <w:rPr>
          <w:noProof/>
        </w:rPr>
        <w:t>Roadmap of this Report</w:t>
      </w:r>
      <w:r>
        <w:rPr>
          <w:noProof/>
        </w:rPr>
        <w:tab/>
      </w:r>
      <w:r>
        <w:rPr>
          <w:noProof/>
        </w:rPr>
        <w:fldChar w:fldCharType="begin"/>
      </w:r>
      <w:r>
        <w:rPr>
          <w:noProof/>
        </w:rPr>
        <w:instrText xml:space="preserve"> PAGEREF _Toc493104899 \h </w:instrText>
      </w:r>
      <w:r>
        <w:rPr>
          <w:noProof/>
        </w:rPr>
      </w:r>
      <w:r>
        <w:rPr>
          <w:noProof/>
        </w:rPr>
        <w:fldChar w:fldCharType="separate"/>
      </w:r>
      <w:r>
        <w:rPr>
          <w:noProof/>
        </w:rPr>
        <w:t>10</w:t>
      </w:r>
      <w:r>
        <w:rPr>
          <w:noProof/>
        </w:rPr>
        <w:fldChar w:fldCharType="end"/>
      </w:r>
    </w:p>
    <w:p w14:paraId="3D516EC1" w14:textId="77777777" w:rsidR="00470A78" w:rsidRDefault="00470A78">
      <w:pPr>
        <w:pStyle w:val="TOC1"/>
        <w:tabs>
          <w:tab w:val="right" w:leader="dot" w:pos="9350"/>
        </w:tabs>
        <w:rPr>
          <w:rFonts w:eastAsiaTheme="minorEastAsia"/>
          <w:noProof/>
          <w:sz w:val="22"/>
        </w:rPr>
      </w:pPr>
      <w:r>
        <w:rPr>
          <w:noProof/>
        </w:rPr>
        <w:t>Geographic-Plus Inventory</w:t>
      </w:r>
      <w:r>
        <w:rPr>
          <w:noProof/>
        </w:rPr>
        <w:tab/>
      </w:r>
      <w:r>
        <w:rPr>
          <w:noProof/>
        </w:rPr>
        <w:fldChar w:fldCharType="begin"/>
      </w:r>
      <w:r>
        <w:rPr>
          <w:noProof/>
        </w:rPr>
        <w:instrText xml:space="preserve"> PAGEREF _Toc493104900 \h </w:instrText>
      </w:r>
      <w:r>
        <w:rPr>
          <w:noProof/>
        </w:rPr>
      </w:r>
      <w:r>
        <w:rPr>
          <w:noProof/>
        </w:rPr>
        <w:fldChar w:fldCharType="separate"/>
      </w:r>
      <w:r>
        <w:rPr>
          <w:noProof/>
        </w:rPr>
        <w:t>11</w:t>
      </w:r>
      <w:r>
        <w:rPr>
          <w:noProof/>
        </w:rPr>
        <w:fldChar w:fldCharType="end"/>
      </w:r>
    </w:p>
    <w:p w14:paraId="7812B761" w14:textId="77777777" w:rsidR="00470A78" w:rsidRDefault="00470A78">
      <w:pPr>
        <w:pStyle w:val="TOC2"/>
        <w:tabs>
          <w:tab w:val="right" w:leader="dot" w:pos="9350"/>
        </w:tabs>
        <w:rPr>
          <w:rFonts w:eastAsiaTheme="minorEastAsia"/>
          <w:noProof/>
          <w:sz w:val="22"/>
        </w:rPr>
      </w:pPr>
      <w:r>
        <w:rPr>
          <w:noProof/>
        </w:rPr>
        <w:t>Results</w:t>
      </w:r>
      <w:r>
        <w:rPr>
          <w:noProof/>
        </w:rPr>
        <w:tab/>
      </w:r>
      <w:r>
        <w:rPr>
          <w:noProof/>
        </w:rPr>
        <w:fldChar w:fldCharType="begin"/>
      </w:r>
      <w:r>
        <w:rPr>
          <w:noProof/>
        </w:rPr>
        <w:instrText xml:space="preserve"> PAGEREF _Toc493104901 \h </w:instrText>
      </w:r>
      <w:r>
        <w:rPr>
          <w:noProof/>
        </w:rPr>
      </w:r>
      <w:r>
        <w:rPr>
          <w:noProof/>
        </w:rPr>
        <w:fldChar w:fldCharType="separate"/>
      </w:r>
      <w:r>
        <w:rPr>
          <w:noProof/>
        </w:rPr>
        <w:t>11</w:t>
      </w:r>
      <w:r>
        <w:rPr>
          <w:noProof/>
        </w:rPr>
        <w:fldChar w:fldCharType="end"/>
      </w:r>
    </w:p>
    <w:p w14:paraId="0111F935" w14:textId="77777777" w:rsidR="00470A78" w:rsidRDefault="00470A78">
      <w:pPr>
        <w:pStyle w:val="TOC2"/>
        <w:tabs>
          <w:tab w:val="right" w:leader="dot" w:pos="9350"/>
        </w:tabs>
        <w:rPr>
          <w:rFonts w:eastAsiaTheme="minorEastAsia"/>
          <w:noProof/>
          <w:sz w:val="22"/>
        </w:rPr>
      </w:pPr>
      <w:r>
        <w:rPr>
          <w:noProof/>
        </w:rPr>
        <w:t>Data Sources</w:t>
      </w:r>
      <w:r>
        <w:rPr>
          <w:noProof/>
        </w:rPr>
        <w:tab/>
      </w:r>
      <w:r>
        <w:rPr>
          <w:noProof/>
        </w:rPr>
        <w:fldChar w:fldCharType="begin"/>
      </w:r>
      <w:r>
        <w:rPr>
          <w:noProof/>
        </w:rPr>
        <w:instrText xml:space="preserve"> PAGEREF _Toc493104902 \h </w:instrText>
      </w:r>
      <w:r>
        <w:rPr>
          <w:noProof/>
        </w:rPr>
      </w:r>
      <w:r>
        <w:rPr>
          <w:noProof/>
        </w:rPr>
        <w:fldChar w:fldCharType="separate"/>
      </w:r>
      <w:r>
        <w:rPr>
          <w:noProof/>
        </w:rPr>
        <w:t>22</w:t>
      </w:r>
      <w:r>
        <w:rPr>
          <w:noProof/>
        </w:rPr>
        <w:fldChar w:fldCharType="end"/>
      </w:r>
    </w:p>
    <w:p w14:paraId="29920833" w14:textId="77777777" w:rsidR="00470A78" w:rsidRDefault="00470A78">
      <w:pPr>
        <w:pStyle w:val="TOC2"/>
        <w:tabs>
          <w:tab w:val="right" w:leader="dot" w:pos="9350"/>
        </w:tabs>
        <w:rPr>
          <w:rFonts w:eastAsiaTheme="minorEastAsia"/>
          <w:noProof/>
          <w:sz w:val="22"/>
        </w:rPr>
      </w:pPr>
      <w:r>
        <w:rPr>
          <w:noProof/>
        </w:rPr>
        <w:t>Key Differences between Past and Current Methodologies</w:t>
      </w:r>
      <w:r>
        <w:rPr>
          <w:noProof/>
        </w:rPr>
        <w:tab/>
      </w:r>
      <w:r>
        <w:rPr>
          <w:noProof/>
        </w:rPr>
        <w:fldChar w:fldCharType="begin"/>
      </w:r>
      <w:r>
        <w:rPr>
          <w:noProof/>
        </w:rPr>
        <w:instrText xml:space="preserve"> PAGEREF _Toc493104903 \h </w:instrText>
      </w:r>
      <w:r>
        <w:rPr>
          <w:noProof/>
        </w:rPr>
      </w:r>
      <w:r>
        <w:rPr>
          <w:noProof/>
        </w:rPr>
        <w:fldChar w:fldCharType="separate"/>
      </w:r>
      <w:r>
        <w:rPr>
          <w:noProof/>
        </w:rPr>
        <w:t>25</w:t>
      </w:r>
      <w:r>
        <w:rPr>
          <w:noProof/>
        </w:rPr>
        <w:fldChar w:fldCharType="end"/>
      </w:r>
    </w:p>
    <w:p w14:paraId="62514ADE" w14:textId="77777777" w:rsidR="00470A78" w:rsidRDefault="00470A78">
      <w:pPr>
        <w:pStyle w:val="TOC2"/>
        <w:tabs>
          <w:tab w:val="right" w:leader="dot" w:pos="9350"/>
        </w:tabs>
        <w:rPr>
          <w:rFonts w:eastAsiaTheme="minorEastAsia"/>
          <w:noProof/>
          <w:sz w:val="22"/>
        </w:rPr>
      </w:pPr>
      <w:r>
        <w:rPr>
          <w:noProof/>
        </w:rPr>
        <w:t>Data Source Limitations</w:t>
      </w:r>
      <w:r>
        <w:rPr>
          <w:noProof/>
        </w:rPr>
        <w:tab/>
      </w:r>
      <w:r>
        <w:rPr>
          <w:noProof/>
        </w:rPr>
        <w:fldChar w:fldCharType="begin"/>
      </w:r>
      <w:r>
        <w:rPr>
          <w:noProof/>
        </w:rPr>
        <w:instrText xml:space="preserve"> PAGEREF _Toc493104904 \h </w:instrText>
      </w:r>
      <w:r>
        <w:rPr>
          <w:noProof/>
        </w:rPr>
      </w:r>
      <w:r>
        <w:rPr>
          <w:noProof/>
        </w:rPr>
        <w:fldChar w:fldCharType="separate"/>
      </w:r>
      <w:r>
        <w:rPr>
          <w:noProof/>
        </w:rPr>
        <w:t>33</w:t>
      </w:r>
      <w:r>
        <w:rPr>
          <w:noProof/>
        </w:rPr>
        <w:fldChar w:fldCharType="end"/>
      </w:r>
    </w:p>
    <w:p w14:paraId="63B210C8" w14:textId="77777777" w:rsidR="00470A78" w:rsidRDefault="00470A78">
      <w:pPr>
        <w:pStyle w:val="TOC1"/>
        <w:tabs>
          <w:tab w:val="right" w:leader="dot" w:pos="9350"/>
        </w:tabs>
        <w:rPr>
          <w:rFonts w:eastAsiaTheme="minorEastAsia"/>
          <w:noProof/>
          <w:sz w:val="22"/>
        </w:rPr>
      </w:pPr>
      <w:r>
        <w:rPr>
          <w:noProof/>
        </w:rPr>
        <w:t>Data Sensitivity to Local Conditions</w:t>
      </w:r>
      <w:r>
        <w:rPr>
          <w:noProof/>
        </w:rPr>
        <w:tab/>
      </w:r>
      <w:r>
        <w:rPr>
          <w:noProof/>
        </w:rPr>
        <w:fldChar w:fldCharType="begin"/>
      </w:r>
      <w:r>
        <w:rPr>
          <w:noProof/>
        </w:rPr>
        <w:instrText xml:space="preserve"> PAGEREF _Toc493104905 \h </w:instrText>
      </w:r>
      <w:r>
        <w:rPr>
          <w:noProof/>
        </w:rPr>
      </w:r>
      <w:r>
        <w:rPr>
          <w:noProof/>
        </w:rPr>
        <w:fldChar w:fldCharType="separate"/>
      </w:r>
      <w:r>
        <w:rPr>
          <w:noProof/>
        </w:rPr>
        <w:t>34</w:t>
      </w:r>
      <w:r>
        <w:rPr>
          <w:noProof/>
        </w:rPr>
        <w:fldChar w:fldCharType="end"/>
      </w:r>
    </w:p>
    <w:p w14:paraId="413AC0FE" w14:textId="77777777" w:rsidR="00470A78" w:rsidRDefault="00470A78">
      <w:pPr>
        <w:pStyle w:val="TOC2"/>
        <w:tabs>
          <w:tab w:val="right" w:leader="dot" w:pos="9350"/>
        </w:tabs>
        <w:rPr>
          <w:rFonts w:eastAsiaTheme="minorEastAsia"/>
          <w:noProof/>
          <w:sz w:val="22"/>
        </w:rPr>
      </w:pPr>
      <w:r>
        <w:rPr>
          <w:noProof/>
        </w:rPr>
        <w:t>Sensitivity, by Sector</w:t>
      </w:r>
      <w:r>
        <w:rPr>
          <w:noProof/>
        </w:rPr>
        <w:tab/>
      </w:r>
      <w:r>
        <w:rPr>
          <w:noProof/>
        </w:rPr>
        <w:fldChar w:fldCharType="begin"/>
      </w:r>
      <w:r>
        <w:rPr>
          <w:noProof/>
        </w:rPr>
        <w:instrText xml:space="preserve"> PAGEREF _Toc493104906 \h </w:instrText>
      </w:r>
      <w:r>
        <w:rPr>
          <w:noProof/>
        </w:rPr>
      </w:r>
      <w:r>
        <w:rPr>
          <w:noProof/>
        </w:rPr>
        <w:fldChar w:fldCharType="separate"/>
      </w:r>
      <w:r>
        <w:rPr>
          <w:noProof/>
        </w:rPr>
        <w:t>35</w:t>
      </w:r>
      <w:r>
        <w:rPr>
          <w:noProof/>
        </w:rPr>
        <w:fldChar w:fldCharType="end"/>
      </w:r>
    </w:p>
    <w:p w14:paraId="060A9F2D" w14:textId="77777777" w:rsidR="00470A78" w:rsidRDefault="00470A78">
      <w:pPr>
        <w:pStyle w:val="TOC1"/>
        <w:tabs>
          <w:tab w:val="right" w:leader="dot" w:pos="9350"/>
        </w:tabs>
        <w:rPr>
          <w:rFonts w:eastAsiaTheme="minorEastAsia"/>
          <w:noProof/>
          <w:sz w:val="22"/>
        </w:rPr>
      </w:pPr>
      <w:r>
        <w:rPr>
          <w:noProof/>
        </w:rPr>
        <w:t>Consumption-Based Inventory</w:t>
      </w:r>
      <w:r>
        <w:rPr>
          <w:noProof/>
        </w:rPr>
        <w:tab/>
      </w:r>
      <w:r>
        <w:rPr>
          <w:noProof/>
        </w:rPr>
        <w:fldChar w:fldCharType="begin"/>
      </w:r>
      <w:r>
        <w:rPr>
          <w:noProof/>
        </w:rPr>
        <w:instrText xml:space="preserve"> PAGEREF _Toc493104907 \h </w:instrText>
      </w:r>
      <w:r>
        <w:rPr>
          <w:noProof/>
        </w:rPr>
      </w:r>
      <w:r>
        <w:rPr>
          <w:noProof/>
        </w:rPr>
        <w:fldChar w:fldCharType="separate"/>
      </w:r>
      <w:r>
        <w:rPr>
          <w:noProof/>
        </w:rPr>
        <w:t>38</w:t>
      </w:r>
      <w:r>
        <w:rPr>
          <w:noProof/>
        </w:rPr>
        <w:fldChar w:fldCharType="end"/>
      </w:r>
    </w:p>
    <w:p w14:paraId="60893F16" w14:textId="77777777" w:rsidR="00470A78" w:rsidRDefault="00470A78">
      <w:pPr>
        <w:pStyle w:val="TOC2"/>
        <w:tabs>
          <w:tab w:val="right" w:leader="dot" w:pos="9350"/>
        </w:tabs>
        <w:rPr>
          <w:rFonts w:eastAsiaTheme="minorEastAsia"/>
          <w:noProof/>
          <w:sz w:val="22"/>
        </w:rPr>
      </w:pPr>
      <w:r>
        <w:rPr>
          <w:noProof/>
        </w:rPr>
        <w:t>Methodology</w:t>
      </w:r>
      <w:r>
        <w:rPr>
          <w:noProof/>
        </w:rPr>
        <w:tab/>
      </w:r>
      <w:r>
        <w:rPr>
          <w:noProof/>
        </w:rPr>
        <w:fldChar w:fldCharType="begin"/>
      </w:r>
      <w:r>
        <w:rPr>
          <w:noProof/>
        </w:rPr>
        <w:instrText xml:space="preserve"> PAGEREF _Toc493104908 \h </w:instrText>
      </w:r>
      <w:r>
        <w:rPr>
          <w:noProof/>
        </w:rPr>
      </w:r>
      <w:r>
        <w:rPr>
          <w:noProof/>
        </w:rPr>
        <w:fldChar w:fldCharType="separate"/>
      </w:r>
      <w:r>
        <w:rPr>
          <w:noProof/>
        </w:rPr>
        <w:t>38</w:t>
      </w:r>
      <w:r>
        <w:rPr>
          <w:noProof/>
        </w:rPr>
        <w:fldChar w:fldCharType="end"/>
      </w:r>
    </w:p>
    <w:p w14:paraId="0C46229C" w14:textId="77777777" w:rsidR="00470A78" w:rsidRDefault="00470A78">
      <w:pPr>
        <w:pStyle w:val="TOC2"/>
        <w:tabs>
          <w:tab w:val="right" w:leader="dot" w:pos="9350"/>
        </w:tabs>
        <w:rPr>
          <w:rFonts w:eastAsiaTheme="minorEastAsia"/>
          <w:noProof/>
          <w:sz w:val="22"/>
        </w:rPr>
      </w:pPr>
      <w:r>
        <w:rPr>
          <w:noProof/>
        </w:rPr>
        <w:t>Results</w:t>
      </w:r>
      <w:r>
        <w:rPr>
          <w:noProof/>
        </w:rPr>
        <w:tab/>
      </w:r>
      <w:r>
        <w:rPr>
          <w:noProof/>
        </w:rPr>
        <w:fldChar w:fldCharType="begin"/>
      </w:r>
      <w:r>
        <w:rPr>
          <w:noProof/>
        </w:rPr>
        <w:instrText xml:space="preserve"> PAGEREF _Toc493104909 \h </w:instrText>
      </w:r>
      <w:r>
        <w:rPr>
          <w:noProof/>
        </w:rPr>
      </w:r>
      <w:r>
        <w:rPr>
          <w:noProof/>
        </w:rPr>
        <w:fldChar w:fldCharType="separate"/>
      </w:r>
      <w:r>
        <w:rPr>
          <w:noProof/>
        </w:rPr>
        <w:t>40</w:t>
      </w:r>
      <w:r>
        <w:rPr>
          <w:noProof/>
        </w:rPr>
        <w:fldChar w:fldCharType="end"/>
      </w:r>
    </w:p>
    <w:p w14:paraId="79AA788F" w14:textId="77777777" w:rsidR="00470A78" w:rsidRDefault="00470A78">
      <w:pPr>
        <w:pStyle w:val="TOC2"/>
        <w:tabs>
          <w:tab w:val="right" w:leader="dot" w:pos="9350"/>
        </w:tabs>
        <w:rPr>
          <w:rFonts w:eastAsiaTheme="minorEastAsia"/>
          <w:noProof/>
          <w:sz w:val="22"/>
        </w:rPr>
      </w:pPr>
      <w:r>
        <w:rPr>
          <w:noProof/>
        </w:rPr>
        <w:t>Discussion</w:t>
      </w:r>
      <w:r>
        <w:rPr>
          <w:noProof/>
        </w:rPr>
        <w:tab/>
      </w:r>
      <w:r>
        <w:rPr>
          <w:noProof/>
        </w:rPr>
        <w:fldChar w:fldCharType="begin"/>
      </w:r>
      <w:r>
        <w:rPr>
          <w:noProof/>
        </w:rPr>
        <w:instrText xml:space="preserve"> PAGEREF _Toc493104910 \h </w:instrText>
      </w:r>
      <w:r>
        <w:rPr>
          <w:noProof/>
        </w:rPr>
      </w:r>
      <w:r>
        <w:rPr>
          <w:noProof/>
        </w:rPr>
        <w:fldChar w:fldCharType="separate"/>
      </w:r>
      <w:r>
        <w:rPr>
          <w:noProof/>
        </w:rPr>
        <w:t>46</w:t>
      </w:r>
      <w:r>
        <w:rPr>
          <w:noProof/>
        </w:rPr>
        <w:fldChar w:fldCharType="end"/>
      </w:r>
    </w:p>
    <w:p w14:paraId="1BE00781" w14:textId="77777777" w:rsidR="00470A78" w:rsidRDefault="00470A78">
      <w:pPr>
        <w:pStyle w:val="TOC2"/>
        <w:tabs>
          <w:tab w:val="right" w:leader="dot" w:pos="9350"/>
        </w:tabs>
        <w:rPr>
          <w:rFonts w:eastAsiaTheme="minorEastAsia"/>
          <w:noProof/>
          <w:sz w:val="22"/>
        </w:rPr>
      </w:pPr>
      <w:r>
        <w:rPr>
          <w:noProof/>
        </w:rPr>
        <w:t>Conclusion</w:t>
      </w:r>
      <w:r>
        <w:rPr>
          <w:noProof/>
        </w:rPr>
        <w:tab/>
      </w:r>
      <w:r>
        <w:rPr>
          <w:noProof/>
        </w:rPr>
        <w:fldChar w:fldCharType="begin"/>
      </w:r>
      <w:r>
        <w:rPr>
          <w:noProof/>
        </w:rPr>
        <w:instrText xml:space="preserve"> PAGEREF _Toc493104911 \h </w:instrText>
      </w:r>
      <w:r>
        <w:rPr>
          <w:noProof/>
        </w:rPr>
      </w:r>
      <w:r>
        <w:rPr>
          <w:noProof/>
        </w:rPr>
        <w:fldChar w:fldCharType="separate"/>
      </w:r>
      <w:r>
        <w:rPr>
          <w:noProof/>
        </w:rPr>
        <w:t>54</w:t>
      </w:r>
      <w:r>
        <w:rPr>
          <w:noProof/>
        </w:rPr>
        <w:fldChar w:fldCharType="end"/>
      </w:r>
    </w:p>
    <w:p w14:paraId="7C8C9595" w14:textId="77777777" w:rsidR="00470A78" w:rsidRDefault="00470A78">
      <w:pPr>
        <w:pStyle w:val="TOC1"/>
        <w:tabs>
          <w:tab w:val="right" w:leader="dot" w:pos="9350"/>
        </w:tabs>
        <w:rPr>
          <w:rFonts w:eastAsiaTheme="minorEastAsia"/>
          <w:noProof/>
          <w:sz w:val="22"/>
        </w:rPr>
      </w:pPr>
      <w:r>
        <w:rPr>
          <w:noProof/>
        </w:rPr>
        <w:t>Contribution Analysis</w:t>
      </w:r>
      <w:r>
        <w:rPr>
          <w:noProof/>
        </w:rPr>
        <w:tab/>
      </w:r>
      <w:r>
        <w:rPr>
          <w:noProof/>
        </w:rPr>
        <w:fldChar w:fldCharType="begin"/>
      </w:r>
      <w:r>
        <w:rPr>
          <w:noProof/>
        </w:rPr>
        <w:instrText xml:space="preserve"> PAGEREF _Toc493104912 \h </w:instrText>
      </w:r>
      <w:r>
        <w:rPr>
          <w:noProof/>
        </w:rPr>
      </w:r>
      <w:r>
        <w:rPr>
          <w:noProof/>
        </w:rPr>
        <w:fldChar w:fldCharType="separate"/>
      </w:r>
      <w:r>
        <w:rPr>
          <w:noProof/>
        </w:rPr>
        <w:t>56</w:t>
      </w:r>
      <w:r>
        <w:rPr>
          <w:noProof/>
        </w:rPr>
        <w:fldChar w:fldCharType="end"/>
      </w:r>
    </w:p>
    <w:p w14:paraId="38537E66" w14:textId="77777777" w:rsidR="00470A78" w:rsidRDefault="00470A78">
      <w:pPr>
        <w:pStyle w:val="TOC1"/>
        <w:tabs>
          <w:tab w:val="right" w:leader="dot" w:pos="9350"/>
        </w:tabs>
        <w:rPr>
          <w:rFonts w:eastAsiaTheme="minorEastAsia"/>
          <w:noProof/>
          <w:sz w:val="22"/>
        </w:rPr>
      </w:pPr>
      <w:r>
        <w:rPr>
          <w:noProof/>
        </w:rPr>
        <w:t>Conclusion and Future Considerations</w:t>
      </w:r>
      <w:r>
        <w:rPr>
          <w:noProof/>
        </w:rPr>
        <w:tab/>
      </w:r>
      <w:r>
        <w:rPr>
          <w:noProof/>
        </w:rPr>
        <w:fldChar w:fldCharType="begin"/>
      </w:r>
      <w:r>
        <w:rPr>
          <w:noProof/>
        </w:rPr>
        <w:instrText xml:space="preserve"> PAGEREF _Toc493104913 \h </w:instrText>
      </w:r>
      <w:r>
        <w:rPr>
          <w:noProof/>
        </w:rPr>
      </w:r>
      <w:r>
        <w:rPr>
          <w:noProof/>
        </w:rPr>
        <w:fldChar w:fldCharType="separate"/>
      </w:r>
      <w:r>
        <w:rPr>
          <w:noProof/>
        </w:rPr>
        <w:t>57</w:t>
      </w:r>
      <w:r>
        <w:rPr>
          <w:noProof/>
        </w:rPr>
        <w:fldChar w:fldCharType="end"/>
      </w:r>
    </w:p>
    <w:p w14:paraId="7624DFE6" w14:textId="77777777" w:rsidR="00470A78" w:rsidRDefault="00470A78">
      <w:pPr>
        <w:pStyle w:val="TOC1"/>
        <w:tabs>
          <w:tab w:val="right" w:leader="dot" w:pos="9350"/>
        </w:tabs>
        <w:rPr>
          <w:rFonts w:eastAsiaTheme="minorEastAsia"/>
          <w:noProof/>
          <w:sz w:val="22"/>
        </w:rPr>
      </w:pPr>
      <w:r>
        <w:rPr>
          <w:noProof/>
        </w:rPr>
        <w:t>References</w:t>
      </w:r>
      <w:r>
        <w:rPr>
          <w:noProof/>
        </w:rPr>
        <w:tab/>
      </w:r>
      <w:r>
        <w:rPr>
          <w:noProof/>
        </w:rPr>
        <w:fldChar w:fldCharType="begin"/>
      </w:r>
      <w:r>
        <w:rPr>
          <w:noProof/>
        </w:rPr>
        <w:instrText xml:space="preserve"> PAGEREF _Toc493104914 \h </w:instrText>
      </w:r>
      <w:r>
        <w:rPr>
          <w:noProof/>
        </w:rPr>
      </w:r>
      <w:r>
        <w:rPr>
          <w:noProof/>
        </w:rPr>
        <w:fldChar w:fldCharType="separate"/>
      </w:r>
      <w:r>
        <w:rPr>
          <w:noProof/>
        </w:rPr>
        <w:t>58</w:t>
      </w:r>
      <w:r>
        <w:rPr>
          <w:noProof/>
        </w:rPr>
        <w:fldChar w:fldCharType="end"/>
      </w:r>
    </w:p>
    <w:p w14:paraId="0C104C4F" w14:textId="3B513A4A" w:rsidR="008D10CB" w:rsidRPr="00E14BC4" w:rsidRDefault="00470A78" w:rsidP="00E14BC4">
      <w:pPr>
        <w:pStyle w:val="Heading1"/>
      </w:pPr>
      <w:r>
        <w:rPr>
          <w:rFonts w:asciiTheme="minorHAnsi" w:eastAsiaTheme="minorHAnsi" w:hAnsiTheme="minorHAnsi" w:cstheme="minorBidi"/>
          <w:b w:val="0"/>
          <w:color w:val="auto"/>
          <w:spacing w:val="0"/>
          <w:sz w:val="22"/>
          <w:szCs w:val="22"/>
        </w:rPr>
        <w:lastRenderedPageBreak/>
        <w:fldChar w:fldCharType="end"/>
      </w:r>
      <w:bookmarkStart w:id="2" w:name="_Toc493104893"/>
      <w:r w:rsidR="008D10CB" w:rsidRPr="00E14BC4">
        <w:t>Executive Summary</w:t>
      </w:r>
      <w:bookmarkEnd w:id="2"/>
    </w:p>
    <w:p w14:paraId="0E1A65E7" w14:textId="18AE2834" w:rsidR="00F57708" w:rsidRDefault="00F57708" w:rsidP="00F57708">
      <w:pPr>
        <w:pStyle w:val="Heading2"/>
      </w:pPr>
      <w:bookmarkStart w:id="3" w:name="_Toc493104894"/>
      <w:r>
        <w:t>Introduction</w:t>
      </w:r>
      <w:bookmarkEnd w:id="3"/>
    </w:p>
    <w:p w14:paraId="684C2DF7" w14:textId="658ACC19" w:rsidR="00E14BC4" w:rsidRDefault="006930E0" w:rsidP="00C67415">
      <w:r>
        <w:t xml:space="preserve">To avoid the most serious </w:t>
      </w:r>
      <w:r w:rsidR="00666CC7">
        <w:t xml:space="preserve">impacts </w:t>
      </w:r>
      <w:r>
        <w:t xml:space="preserve">of climate change, </w:t>
      </w:r>
      <w:r w:rsidR="00666CC7">
        <w:t xml:space="preserve">deep </w:t>
      </w:r>
      <w:r w:rsidR="00063B8D">
        <w:t>reductions</w:t>
      </w:r>
      <w:r w:rsidR="00666CC7">
        <w:t xml:space="preserve"> in</w:t>
      </w:r>
      <w:r>
        <w:t xml:space="preserve"> greenhouse gases</w:t>
      </w:r>
      <w:r w:rsidR="00AA4B1C">
        <w:t xml:space="preserve"> </w:t>
      </w:r>
      <w:r w:rsidR="00042D1F">
        <w:t xml:space="preserve">(GHG) </w:t>
      </w:r>
      <w:r w:rsidR="00AA4B1C">
        <w:t xml:space="preserve">emissions </w:t>
      </w:r>
      <w:r w:rsidR="00666CC7">
        <w:t>are needed</w:t>
      </w:r>
      <w:r>
        <w:t xml:space="preserve">. Quantifying sources of </w:t>
      </w:r>
      <w:r w:rsidR="000E6A8B">
        <w:t>GHGs</w:t>
      </w:r>
      <w:r>
        <w:t xml:space="preserve"> is a fundamental step </w:t>
      </w:r>
      <w:r w:rsidR="00AA4B1C">
        <w:t>toward</w:t>
      </w:r>
      <w:r>
        <w:t xml:space="preserve"> reducing </w:t>
      </w:r>
      <w:r w:rsidR="000E6A8B">
        <w:t>GHG</w:t>
      </w:r>
      <w:r w:rsidR="00AA4B1C">
        <w:t xml:space="preserve"> emissions</w:t>
      </w:r>
      <w:r>
        <w:t xml:space="preserve"> </w:t>
      </w:r>
      <w:r w:rsidR="00AA4B1C">
        <w:t xml:space="preserve">and tracking progress toward emission reduction </w:t>
      </w:r>
      <w:r w:rsidR="008714B4">
        <w:t>targets</w:t>
      </w:r>
      <w:r w:rsidR="00AA4B1C">
        <w:t>.</w:t>
      </w:r>
      <w:r w:rsidR="00E90D69">
        <w:t xml:space="preserve"> </w:t>
      </w:r>
      <w:r w:rsidR="00DA6FB5">
        <w:t>In 201</w:t>
      </w:r>
      <w:r w:rsidR="00F57708">
        <w:t>4</w:t>
      </w:r>
      <w:r w:rsidR="00F47407">
        <w:t>,</w:t>
      </w:r>
      <w:r w:rsidR="0023438B">
        <w:t xml:space="preserve"> the </w:t>
      </w:r>
      <w:r w:rsidR="0023438B" w:rsidRPr="0023438B">
        <w:t xml:space="preserve">Growth Management Planning Council, </w:t>
      </w:r>
      <w:r w:rsidR="008714B4">
        <w:t xml:space="preserve">the regional planning council </w:t>
      </w:r>
      <w:r w:rsidR="0023438B" w:rsidRPr="0023438B">
        <w:t xml:space="preserve">which includes elected leaders from </w:t>
      </w:r>
      <w:r w:rsidR="00C67415">
        <w:t xml:space="preserve">the 39 </w:t>
      </w:r>
      <w:r w:rsidR="0023438B" w:rsidRPr="0023438B">
        <w:t xml:space="preserve">cities </w:t>
      </w:r>
      <w:r w:rsidR="00C67415">
        <w:t xml:space="preserve">of King County </w:t>
      </w:r>
      <w:r w:rsidR="0023438B" w:rsidRPr="0023438B">
        <w:t>and the Metropolitan King County Council</w:t>
      </w:r>
      <w:r w:rsidR="008714B4">
        <w:t xml:space="preserve">, </w:t>
      </w:r>
      <w:r w:rsidR="0023438B">
        <w:t xml:space="preserve">unanimously adopted </w:t>
      </w:r>
      <w:r w:rsidR="008714B4">
        <w:t xml:space="preserve">ambitious </w:t>
      </w:r>
      <w:r w:rsidR="0023438B">
        <w:t xml:space="preserve">shared near and long-term GHG reduction </w:t>
      </w:r>
      <w:r w:rsidR="008714B4">
        <w:t>targets</w:t>
      </w:r>
      <w:r w:rsidR="0023438B">
        <w:t xml:space="preserve">. </w:t>
      </w:r>
      <w:r w:rsidR="00C67415">
        <w:t xml:space="preserve">King County further reaffirmed these </w:t>
      </w:r>
      <w:r w:rsidR="008714B4">
        <w:t>targets</w:t>
      </w:r>
      <w:r w:rsidR="00C67415">
        <w:t xml:space="preserve"> with the adoption of </w:t>
      </w:r>
      <w:r w:rsidR="008714B4">
        <w:t>its</w:t>
      </w:r>
      <w:r w:rsidR="00C67415">
        <w:t xml:space="preserve"> 2015 King County Strategic Climate Action Plan</w:t>
      </w:r>
      <w:r w:rsidR="0023438B" w:rsidRPr="0023438B">
        <w:t xml:space="preserve">. </w:t>
      </w:r>
      <w:r w:rsidR="00C67415">
        <w:t xml:space="preserve">The </w:t>
      </w:r>
      <w:r w:rsidR="00F57708">
        <w:t xml:space="preserve">adopted </w:t>
      </w:r>
      <w:r w:rsidR="00C67415">
        <w:t xml:space="preserve">targets are </w:t>
      </w:r>
      <w:r w:rsidR="00DA6FB5">
        <w:t>to red</w:t>
      </w:r>
      <w:r w:rsidR="000B5F16">
        <w:t xml:space="preserve">uce countywide sources of GHG emissions below 2007 levels 25% by 2020, 50% by 2030, and 80% by 2050. </w:t>
      </w:r>
      <w:r w:rsidR="00F57708" w:rsidRPr="0023438B">
        <w:t xml:space="preserve">King County </w:t>
      </w:r>
      <w:r w:rsidR="00F57708">
        <w:t xml:space="preserve">also committed to </w:t>
      </w:r>
      <w:r w:rsidR="00F57708" w:rsidRPr="0023438B">
        <w:t>responsib</w:t>
      </w:r>
      <w:r w:rsidR="00F57708">
        <w:t>ility</w:t>
      </w:r>
      <w:r w:rsidR="00F57708" w:rsidRPr="0023438B">
        <w:t xml:space="preserve"> for </w:t>
      </w:r>
      <w:r w:rsidR="00F57708">
        <w:t xml:space="preserve">periodic </w:t>
      </w:r>
      <w:r w:rsidR="00F57708" w:rsidRPr="0023438B">
        <w:t>assessment and reporting</w:t>
      </w:r>
      <w:r w:rsidR="00F57708">
        <w:t xml:space="preserve"> of progress towards the targets</w:t>
      </w:r>
      <w:r w:rsidR="00F57708" w:rsidRPr="0023438B">
        <w:t>.</w:t>
      </w:r>
    </w:p>
    <w:p w14:paraId="04580889" w14:textId="32A5DBA0" w:rsidR="000E6A8B" w:rsidRDefault="00F34E28" w:rsidP="008D10CB">
      <w:r>
        <w:t xml:space="preserve">This report </w:t>
      </w:r>
      <w:r w:rsidR="00AA4B1C">
        <w:t>provides a 2015 update of the co</w:t>
      </w:r>
      <w:r w:rsidR="00DA6FB5">
        <w:t xml:space="preserve">unty’s communitywide </w:t>
      </w:r>
      <w:r w:rsidR="000E6A8B">
        <w:t>emissions and compares</w:t>
      </w:r>
      <w:r w:rsidR="00DA6FB5">
        <w:t xml:space="preserve"> results to newly updated </w:t>
      </w:r>
      <w:r w:rsidR="00F57708">
        <w:t>inventories</w:t>
      </w:r>
      <w:r w:rsidR="00063B8D">
        <w:t xml:space="preserve"> </w:t>
      </w:r>
      <w:r w:rsidR="00DA6FB5">
        <w:t>for 2003, 2008, and 2010</w:t>
      </w:r>
      <w:r w:rsidR="00063B8D">
        <w:t xml:space="preserve">. The report </w:t>
      </w:r>
      <w:r w:rsidR="00F57708">
        <w:t>also quantified</w:t>
      </w:r>
      <w:r w:rsidR="00666CC7">
        <w:t xml:space="preserve"> 2007 countywide emissions </w:t>
      </w:r>
      <w:r w:rsidR="00063B8D">
        <w:t>for</w:t>
      </w:r>
      <w:r w:rsidR="00666CC7">
        <w:t xml:space="preserve"> use in comparison towards </w:t>
      </w:r>
      <w:r w:rsidR="000E6A8B">
        <w:t xml:space="preserve">adopted </w:t>
      </w:r>
      <w:r w:rsidR="00063B8D">
        <w:t>targets</w:t>
      </w:r>
      <w:r w:rsidR="00666CC7">
        <w:t>.</w:t>
      </w:r>
      <w:r w:rsidR="00DA6FB5">
        <w:t xml:space="preserve"> </w:t>
      </w:r>
    </w:p>
    <w:p w14:paraId="4D8C5092" w14:textId="5563585C" w:rsidR="00E67C23" w:rsidRDefault="00E67C23" w:rsidP="008D10CB">
      <w:r>
        <w:t>As science and policy have progressed, re</w:t>
      </w:r>
      <w:r w:rsidR="00AA4B1C">
        <w:t>levant and accepted</w:t>
      </w:r>
      <w:r>
        <w:t xml:space="preserve"> methodolog</w:t>
      </w:r>
      <w:r w:rsidR="00AA4B1C">
        <w:t>ies</w:t>
      </w:r>
      <w:r>
        <w:t xml:space="preserve"> for producing a GHG inventory ha</w:t>
      </w:r>
      <w:r w:rsidR="00045E51">
        <w:t>ve</w:t>
      </w:r>
      <w:r>
        <w:t xml:space="preserve"> changed.</w:t>
      </w:r>
      <w:r w:rsidR="003722AE">
        <w:t xml:space="preserve"> </w:t>
      </w:r>
      <w:r>
        <w:t xml:space="preserve">The </w:t>
      </w:r>
      <w:r w:rsidRPr="005943F0">
        <w:rPr>
          <w:i/>
        </w:rPr>
        <w:t>U.S. Community Protocol for Accounting and Reporting Greenhouse Gas Emissions</w:t>
      </w:r>
      <w:r>
        <w:t xml:space="preserve"> (</w:t>
      </w:r>
      <w:r w:rsidR="00AA4B1C">
        <w:t>“</w:t>
      </w:r>
      <w:r>
        <w:t>Community Protocol</w:t>
      </w:r>
      <w:r w:rsidR="00AA4B1C">
        <w:t>”</w:t>
      </w:r>
      <w:r>
        <w:t xml:space="preserve">) has emerged as </w:t>
      </w:r>
      <w:r w:rsidR="00AA4B1C">
        <w:t xml:space="preserve">a </w:t>
      </w:r>
      <w:r>
        <w:t>consistent</w:t>
      </w:r>
      <w:r w:rsidR="00AA4B1C">
        <w:t>, U.S.-specific framework for quantifying</w:t>
      </w:r>
      <w:r>
        <w:t xml:space="preserve"> GHG emissions</w:t>
      </w:r>
      <w:r w:rsidR="00AA4B1C">
        <w:t xml:space="preserve"> at the community-scale</w:t>
      </w:r>
      <w:r>
        <w:t>.</w:t>
      </w:r>
      <w:r w:rsidR="003722AE">
        <w:t xml:space="preserve"> </w:t>
      </w:r>
      <w:r w:rsidR="00AA4B1C">
        <w:t>This 2015 inventory for King County</w:t>
      </w:r>
      <w:r>
        <w:t xml:space="preserve"> </w:t>
      </w:r>
      <w:r w:rsidR="00AA4B1C">
        <w:t>follows the</w:t>
      </w:r>
      <w:r w:rsidR="00045E51">
        <w:t xml:space="preserve"> </w:t>
      </w:r>
      <w:r>
        <w:t>Community Protocol</w:t>
      </w:r>
      <w:r w:rsidR="00AA4B1C">
        <w:t xml:space="preserve">. </w:t>
      </w:r>
      <w:r w:rsidR="00042D1F">
        <w:t>To facilitate comparison among years,</w:t>
      </w:r>
      <w:r w:rsidR="00F34E28">
        <w:t xml:space="preserve"> </w:t>
      </w:r>
      <w:r w:rsidR="008714B4">
        <w:t>past</w:t>
      </w:r>
      <w:r w:rsidR="00567C9F">
        <w:t xml:space="preserve"> </w:t>
      </w:r>
      <w:r w:rsidR="000E6A8B">
        <w:t xml:space="preserve">data </w:t>
      </w:r>
      <w:r w:rsidR="00F95475">
        <w:t xml:space="preserve">were </w:t>
      </w:r>
      <w:r w:rsidR="00042D1F">
        <w:t xml:space="preserve">also </w:t>
      </w:r>
      <w:r w:rsidR="00F34E28">
        <w:t xml:space="preserve">updated to reflect </w:t>
      </w:r>
      <w:r w:rsidR="00AA4B1C">
        <w:t>compliance with the U.S. Community Protocol</w:t>
      </w:r>
      <w:r w:rsidR="00F34E28">
        <w:t>.</w:t>
      </w:r>
    </w:p>
    <w:p w14:paraId="1AFBC3D6" w14:textId="60C3AB21" w:rsidR="00E67C23" w:rsidRDefault="00E67C23" w:rsidP="008D10CB">
      <w:r>
        <w:t xml:space="preserve">This report includes two </w:t>
      </w:r>
      <w:r w:rsidR="00AA4B1C">
        <w:t>distinct inventories</w:t>
      </w:r>
      <w:r w:rsidR="00F34E28">
        <w:t xml:space="preserve">: </w:t>
      </w:r>
      <w:r w:rsidR="00AA4B1C">
        <w:t>a</w:t>
      </w:r>
      <w:r w:rsidR="00F34E28">
        <w:t xml:space="preserve"> </w:t>
      </w:r>
      <w:r w:rsidR="00AA4B1C">
        <w:t>“g</w:t>
      </w:r>
      <w:r w:rsidR="00F34E28">
        <w:t>eographic-</w:t>
      </w:r>
      <w:r w:rsidR="00AA4B1C">
        <w:t>p</w:t>
      </w:r>
      <w:r w:rsidR="00F34E28">
        <w:t>lus</w:t>
      </w:r>
      <w:r w:rsidR="00AA4B1C">
        <w:t>”</w:t>
      </w:r>
      <w:r w:rsidR="00F34E28">
        <w:t xml:space="preserve"> inventory</w:t>
      </w:r>
      <w:r w:rsidR="00AA4B1C">
        <w:t xml:space="preserve"> and a “c</w:t>
      </w:r>
      <w:r w:rsidR="00F34E28">
        <w:t>onsumption-based</w:t>
      </w:r>
      <w:r w:rsidR="00AA4B1C">
        <w:t>”</w:t>
      </w:r>
      <w:r w:rsidR="00F34E28">
        <w:t xml:space="preserve"> inventory.</w:t>
      </w:r>
      <w:r w:rsidR="003722AE">
        <w:t xml:space="preserve"> </w:t>
      </w:r>
      <w:r w:rsidR="00F34E28">
        <w:t xml:space="preserve">The </w:t>
      </w:r>
      <w:r w:rsidR="00AA4B1C">
        <w:t>g</w:t>
      </w:r>
      <w:r w:rsidR="00F34E28">
        <w:t>eographic-</w:t>
      </w:r>
      <w:r w:rsidR="00AA4B1C">
        <w:t>p</w:t>
      </w:r>
      <w:r w:rsidR="00F34E28">
        <w:t>lus inventory primarily estimates the annual GHG emissions released within community boundaries</w:t>
      </w:r>
      <w:r w:rsidR="00AA4B1C">
        <w:t>,</w:t>
      </w:r>
      <w:r w:rsidR="00F34E28">
        <w:t xml:space="preserve"> but also includes emissions from electricity generated outside</w:t>
      </w:r>
      <w:r w:rsidR="000E6A8B">
        <w:t xml:space="preserve"> of King County</w:t>
      </w:r>
      <w:r w:rsidR="00F34E28">
        <w:t xml:space="preserve"> but consumed within</w:t>
      </w:r>
      <w:r w:rsidR="000E6A8B">
        <w:t xml:space="preserve"> </w:t>
      </w:r>
      <w:r w:rsidR="00F34E28">
        <w:t xml:space="preserve">the </w:t>
      </w:r>
      <w:r w:rsidR="000E6A8B">
        <w:t>County</w:t>
      </w:r>
      <w:r w:rsidR="00F34E28">
        <w:t xml:space="preserve">. The </w:t>
      </w:r>
      <w:r w:rsidR="002A2156">
        <w:t>c</w:t>
      </w:r>
      <w:r w:rsidR="00F34E28">
        <w:t>onsumption-</w:t>
      </w:r>
      <w:r w:rsidR="002A2156">
        <w:t>b</w:t>
      </w:r>
      <w:r w:rsidR="00F34E28">
        <w:t xml:space="preserve">ased </w:t>
      </w:r>
      <w:r w:rsidR="00B05133">
        <w:t xml:space="preserve">inventory </w:t>
      </w:r>
      <w:r w:rsidR="00F34E28">
        <w:t>accounts for the GHG emissions associated with the consumption of goods</w:t>
      </w:r>
      <w:r w:rsidR="00666CC7">
        <w:t xml:space="preserve"> and services</w:t>
      </w:r>
      <w:r w:rsidR="00F34E28">
        <w:t xml:space="preserve"> within the community, regardless of where these good</w:t>
      </w:r>
      <w:r w:rsidR="00042D1F">
        <w:t>s</w:t>
      </w:r>
      <w:r w:rsidR="00F34E28">
        <w:t xml:space="preserve"> were produced. </w:t>
      </w:r>
    </w:p>
    <w:p w14:paraId="4FBEA100" w14:textId="77777777" w:rsidR="001C69BE" w:rsidRDefault="001C69BE" w:rsidP="00F45CAC">
      <w:pPr>
        <w:pStyle w:val="Heading2"/>
      </w:pPr>
      <w:r>
        <w:br w:type="page"/>
      </w:r>
    </w:p>
    <w:p w14:paraId="4794B791" w14:textId="797D1C96" w:rsidR="00F45CAC" w:rsidRDefault="00F45CAC" w:rsidP="00F45CAC">
      <w:pPr>
        <w:pStyle w:val="Heading2"/>
      </w:pPr>
      <w:bookmarkStart w:id="4" w:name="_Toc493104895"/>
      <w:r>
        <w:lastRenderedPageBreak/>
        <w:t xml:space="preserve">2015 Geographic-Plus Inventory </w:t>
      </w:r>
      <w:r w:rsidR="002A2156">
        <w:t>F</w:t>
      </w:r>
      <w:r>
        <w:t>indings</w:t>
      </w:r>
      <w:bookmarkEnd w:id="4"/>
    </w:p>
    <w:p w14:paraId="01D79261" w14:textId="77777777" w:rsidR="00C71E64" w:rsidRDefault="00C71E64" w:rsidP="00C71E64">
      <w:pPr>
        <w:pStyle w:val="ListParagraph"/>
        <w:numPr>
          <w:ilvl w:val="0"/>
          <w:numId w:val="16"/>
        </w:numPr>
      </w:pPr>
      <w:bookmarkStart w:id="5" w:name="_Ref482360970"/>
      <w:bookmarkStart w:id="6" w:name="_Ref482303069"/>
      <w:r>
        <w:t xml:space="preserve">King County 2015 geographic-plus </w:t>
      </w:r>
      <w:r w:rsidRPr="00EF54B7">
        <w:t>green</w:t>
      </w:r>
      <w:r>
        <w:t>house gas emissions totaled 21.4</w:t>
      </w:r>
      <w:r w:rsidRPr="00EF54B7">
        <w:rPr>
          <w:b/>
        </w:rPr>
        <w:t xml:space="preserve"> </w:t>
      </w:r>
      <w:r w:rsidRPr="00EF54B7">
        <w:t>million metric tons of carbon dioxide equivalent (</w:t>
      </w:r>
      <w:r w:rsidRPr="00D52D6C">
        <w:t>MgCO</w:t>
      </w:r>
      <w:r w:rsidRPr="00D52D6C">
        <w:rPr>
          <w:vertAlign w:val="subscript"/>
        </w:rPr>
        <w:t>2</w:t>
      </w:r>
      <w:r w:rsidRPr="00D52D6C">
        <w:t>e</w:t>
      </w:r>
      <w:r w:rsidRPr="00EF54B7">
        <w:t xml:space="preserve">), </w:t>
      </w:r>
      <w:r>
        <w:t>representing an estimated 4</w:t>
      </w:r>
      <w:commentRangeStart w:id="7"/>
      <w:r>
        <w:t>% increase compared to the 2007</w:t>
      </w:r>
      <w:r>
        <w:rPr>
          <w:rStyle w:val="FootnoteReference"/>
        </w:rPr>
        <w:footnoteReference w:id="2"/>
      </w:r>
      <w:r>
        <w:t xml:space="preserve"> baseline year and</w:t>
      </w:r>
      <w:r w:rsidRPr="00EF54B7">
        <w:t xml:space="preserve"> </w:t>
      </w:r>
      <w:r>
        <w:t>a 3% in</w:t>
      </w:r>
      <w:r w:rsidRPr="00EF54B7">
        <w:t>crease compared to 2008 emissions (</w:t>
      </w:r>
      <w:r>
        <w:fldChar w:fldCharType="begin"/>
      </w:r>
      <w:r>
        <w:instrText xml:space="preserve"> REF _Ref482360970 \h </w:instrText>
      </w:r>
      <w:r>
        <w:fldChar w:fldCharType="separate"/>
      </w:r>
      <w:r>
        <w:t xml:space="preserve">Figure </w:t>
      </w:r>
      <w:r>
        <w:rPr>
          <w:noProof/>
        </w:rPr>
        <w:t>1</w:t>
      </w:r>
      <w:r>
        <w:fldChar w:fldCharType="end"/>
      </w:r>
      <w:r>
        <w:t xml:space="preserve"> and </w:t>
      </w:r>
      <w:r>
        <w:fldChar w:fldCharType="begin"/>
      </w:r>
      <w:r>
        <w:instrText xml:space="preserve"> REF _Ref492717338 \h </w:instrText>
      </w:r>
      <w:r>
        <w:fldChar w:fldCharType="separate"/>
      </w:r>
      <w:r>
        <w:t xml:space="preserve">Figure </w:t>
      </w:r>
      <w:r>
        <w:rPr>
          <w:noProof/>
        </w:rPr>
        <w:t>2</w:t>
      </w:r>
      <w:r>
        <w:fldChar w:fldCharType="end"/>
      </w:r>
      <w:r w:rsidRPr="00EF54B7">
        <w:t xml:space="preserve">). </w:t>
      </w:r>
      <w:commentRangeEnd w:id="7"/>
      <w:r>
        <w:rPr>
          <w:rStyle w:val="CommentReference"/>
        </w:rPr>
        <w:commentReference w:id="7"/>
      </w:r>
      <w:r>
        <w:t xml:space="preserve"> </w:t>
      </w:r>
    </w:p>
    <w:p w14:paraId="46173D20" w14:textId="77777777" w:rsidR="00C71E64" w:rsidRDefault="00C71E64" w:rsidP="00C71E64">
      <w:pPr>
        <w:pStyle w:val="ListParagraph"/>
        <w:numPr>
          <w:ilvl w:val="0"/>
          <w:numId w:val="16"/>
        </w:numPr>
      </w:pPr>
      <w:r>
        <w:t xml:space="preserve">Per person or per-capita emissions declined </w:t>
      </w:r>
      <w:r w:rsidRPr="00D96174">
        <w:t>by</w:t>
      </w:r>
      <w:r>
        <w:t xml:space="preserve"> an </w:t>
      </w:r>
      <w:r w:rsidRPr="0049799A">
        <w:t xml:space="preserve">estimated </w:t>
      </w:r>
      <w:r>
        <w:t>6.6</w:t>
      </w:r>
      <w:r w:rsidRPr="0049799A">
        <w:t>% from</w:t>
      </w:r>
      <w:r>
        <w:t xml:space="preserve"> 2007 compared to 2015</w:t>
      </w:r>
      <w:r w:rsidRPr="00D96174">
        <w:t xml:space="preserve"> </w:t>
      </w:r>
      <w:r>
        <w:t>and 6.1</w:t>
      </w:r>
      <w:r w:rsidRPr="00D96174">
        <w:t>%</w:t>
      </w:r>
      <w:r w:rsidRPr="00EF54B7">
        <w:t xml:space="preserve"> from 2008 to 2015. </w:t>
      </w:r>
      <w:r>
        <w:t>When including both core and supplementary emissions sectors, the</w:t>
      </w:r>
      <w:r w:rsidRPr="00EF54B7">
        <w:t xml:space="preserve"> average King County resid</w:t>
      </w:r>
      <w:r>
        <w:t xml:space="preserve">ent </w:t>
      </w:r>
      <w:r w:rsidRPr="00D96174">
        <w:t>emitted</w:t>
      </w:r>
      <w:r w:rsidRPr="000E6A8B">
        <w:t xml:space="preserve"> </w:t>
      </w:r>
      <w:r>
        <w:t>11.2</w:t>
      </w:r>
      <w:r w:rsidRPr="00E61584">
        <w:t xml:space="preserve"> MgCO</w:t>
      </w:r>
      <w:r w:rsidRPr="00E61584">
        <w:rPr>
          <w:vertAlign w:val="subscript"/>
        </w:rPr>
        <w:t>2</w:t>
      </w:r>
      <w:r w:rsidRPr="00E61584">
        <w:t xml:space="preserve">e in 2007, </w:t>
      </w:r>
      <w:r>
        <w:t>11.1</w:t>
      </w:r>
      <w:r w:rsidRPr="00E61584">
        <w:t xml:space="preserve"> MgCO</w:t>
      </w:r>
      <w:r w:rsidRPr="00E61584">
        <w:rPr>
          <w:vertAlign w:val="subscript"/>
        </w:rPr>
        <w:t>2</w:t>
      </w:r>
      <w:r>
        <w:t>e in 2008, and 10.4</w:t>
      </w:r>
      <w:r w:rsidRPr="00E61584">
        <w:t xml:space="preserve"> MgCO</w:t>
      </w:r>
      <w:r w:rsidRPr="00E61584">
        <w:rPr>
          <w:vertAlign w:val="subscript"/>
        </w:rPr>
        <w:t>2</w:t>
      </w:r>
      <w:r w:rsidRPr="00E61584">
        <w:t>e in 2015. Total population in King County increased 11% from 1.8 million residents in 2007 to 2.1</w:t>
      </w:r>
      <w:r>
        <w:t xml:space="preserve"> million residents in 2015 (</w:t>
      </w:r>
      <w:r>
        <w:fldChar w:fldCharType="begin"/>
      </w:r>
      <w:r>
        <w:instrText xml:space="preserve"> REF _Ref492717423 \h </w:instrText>
      </w:r>
      <w:r>
        <w:fldChar w:fldCharType="separate"/>
      </w:r>
      <w:r>
        <w:t xml:space="preserve">Figure </w:t>
      </w:r>
      <w:r>
        <w:rPr>
          <w:noProof/>
        </w:rPr>
        <w:t>4</w:t>
      </w:r>
      <w:r>
        <w:fldChar w:fldCharType="end"/>
      </w:r>
      <w:r>
        <w:t>).</w:t>
      </w:r>
    </w:p>
    <w:p w14:paraId="0490BCB6" w14:textId="77777777" w:rsidR="00C71E64" w:rsidRPr="00E61584" w:rsidRDefault="00C71E64" w:rsidP="00C71E64">
      <w:pPr>
        <w:pStyle w:val="ListParagraph"/>
        <w:numPr>
          <w:ilvl w:val="0"/>
          <w:numId w:val="16"/>
        </w:numPr>
      </w:pPr>
      <w:r w:rsidRPr="00E61584">
        <w:t>“Core emissions” from residential and commercial energy use and from on-road transportation sources stabilized between 2010 and 2015 (</w:t>
      </w:r>
      <w:r>
        <w:fldChar w:fldCharType="begin"/>
      </w:r>
      <w:r>
        <w:instrText xml:space="preserve"> REF _Ref492717355 \h </w:instrText>
      </w:r>
      <w:r>
        <w:fldChar w:fldCharType="separate"/>
      </w:r>
      <w:r>
        <w:t xml:space="preserve">Figure </w:t>
      </w:r>
      <w:r>
        <w:rPr>
          <w:noProof/>
        </w:rPr>
        <w:t>3</w:t>
      </w:r>
      <w:r>
        <w:fldChar w:fldCharType="end"/>
      </w:r>
      <w:r w:rsidRPr="00E61584">
        <w:t>).</w:t>
      </w:r>
    </w:p>
    <w:p w14:paraId="3FA4528E" w14:textId="77777777" w:rsidR="00C71E64" w:rsidRPr="00D96174" w:rsidRDefault="00C71E64" w:rsidP="00C71E64">
      <w:pPr>
        <w:pStyle w:val="ListParagraph"/>
        <w:numPr>
          <w:ilvl w:val="0"/>
          <w:numId w:val="16"/>
        </w:numPr>
      </w:pPr>
      <w:r w:rsidRPr="00EF54B7">
        <w:t xml:space="preserve">In 2015, </w:t>
      </w:r>
      <w:r w:rsidRPr="00D96174">
        <w:t xml:space="preserve">King County’s largest sources of </w:t>
      </w:r>
      <w:r>
        <w:t>geographic-plus based</w:t>
      </w:r>
      <w:r w:rsidRPr="00D96174">
        <w:t xml:space="preserve"> greenhouse gas emissions are the built environment (</w:t>
      </w:r>
      <w:r>
        <w:t>63%) and transportation (35</w:t>
      </w:r>
      <w:r w:rsidRPr="00D96174">
        <w:t>%).</w:t>
      </w:r>
    </w:p>
    <w:p w14:paraId="1DFFF385" w14:textId="77777777" w:rsidR="00C71E64" w:rsidRDefault="00C71E64" w:rsidP="00C71E64">
      <w:pPr>
        <w:pStyle w:val="ListParagraph"/>
        <w:numPr>
          <w:ilvl w:val="0"/>
          <w:numId w:val="16"/>
        </w:numPr>
      </w:pPr>
      <w:r>
        <w:t>The largest increases in emissions from 2008 to 2015 were in the residential and commercial electricity sectors (0.16 and 0.27 million MgCO</w:t>
      </w:r>
      <w:r w:rsidRPr="00CC542E">
        <w:rPr>
          <w:vertAlign w:val="subscript"/>
        </w:rPr>
        <w:t>2</w:t>
      </w:r>
      <w:r>
        <w:t>e increase, respectively, equivalent to 7% and 10% increases). The largest decreases were due to changes in residential natural gas and on-road passenger vehicle emissions (0.26 and 0.11 million MgCO</w:t>
      </w:r>
      <w:r w:rsidRPr="00CC542E">
        <w:rPr>
          <w:vertAlign w:val="subscript"/>
        </w:rPr>
        <w:t>2</w:t>
      </w:r>
      <w:r>
        <w:t xml:space="preserve">e decrease, </w:t>
      </w:r>
      <w:commentRangeStart w:id="8"/>
      <w:r>
        <w:t>respectively</w:t>
      </w:r>
      <w:commentRangeEnd w:id="8"/>
      <w:r>
        <w:rPr>
          <w:rStyle w:val="CommentReference"/>
        </w:rPr>
        <w:commentReference w:id="8"/>
      </w:r>
      <w:r>
        <w:t>, equivalent to 14% and 2% decreases).</w:t>
      </w:r>
    </w:p>
    <w:p w14:paraId="7F2DF84C" w14:textId="77777777" w:rsidR="00C71E64" w:rsidRPr="00D96174" w:rsidRDefault="00C71E64" w:rsidP="00C71E64">
      <w:pPr>
        <w:pStyle w:val="ListParagraph"/>
        <w:numPr>
          <w:ilvl w:val="0"/>
          <w:numId w:val="16"/>
        </w:numPr>
      </w:pPr>
      <w:r w:rsidRPr="00D96174">
        <w:t xml:space="preserve">Emissions from solid waste (1%), wastewater (&lt;1%), and agriculture (1%) </w:t>
      </w:r>
      <w:r>
        <w:t>are</w:t>
      </w:r>
      <w:r w:rsidRPr="00D96174">
        <w:t xml:space="preserve"> </w:t>
      </w:r>
      <w:r>
        <w:t>a small part of overall GHG emissions</w:t>
      </w:r>
      <w:r w:rsidRPr="00D96174">
        <w:t xml:space="preserve"> in King County.</w:t>
      </w:r>
    </w:p>
    <w:p w14:paraId="0C54C67D" w14:textId="136C1A62" w:rsidR="00CE305B" w:rsidRDefault="00CE305B" w:rsidP="00CE305B">
      <w:pPr>
        <w:pStyle w:val="Caption"/>
      </w:pPr>
      <w:r>
        <w:lastRenderedPageBreak/>
        <w:t xml:space="preserve">Figure </w:t>
      </w:r>
      <w:fldSimple w:instr=" SEQ Figure \* ARABIC ">
        <w:r w:rsidR="001C69BE">
          <w:rPr>
            <w:noProof/>
          </w:rPr>
          <w:t>1</w:t>
        </w:r>
      </w:fldSimple>
      <w:bookmarkEnd w:id="5"/>
      <w:bookmarkEnd w:id="6"/>
      <w:r>
        <w:t xml:space="preserve">. Sources of </w:t>
      </w:r>
      <w:r w:rsidR="00063B8D">
        <w:t>geographic-plus based GHG</w:t>
      </w:r>
      <w:r>
        <w:t xml:space="preserve"> emissions for K</w:t>
      </w:r>
      <w:r w:rsidR="00CC542E">
        <w:t>ing County in 2015</w:t>
      </w:r>
      <w:r w:rsidR="00F03AF7">
        <w:t>, excluding supplemental sources</w:t>
      </w:r>
      <w:r w:rsidR="00C71E64">
        <w:t xml:space="preserve"> (total = 21.4</w:t>
      </w:r>
      <w:r>
        <w:t xml:space="preserve"> million </w:t>
      </w:r>
      <w:commentRangeStart w:id="9"/>
      <w:r w:rsidR="00D52D6C" w:rsidRPr="00D52D6C">
        <w:t>MgCO</w:t>
      </w:r>
      <w:r w:rsidR="00D52D6C" w:rsidRPr="00D52D6C">
        <w:rPr>
          <w:vertAlign w:val="subscript"/>
        </w:rPr>
        <w:t>2</w:t>
      </w:r>
      <w:r w:rsidR="00D52D6C" w:rsidRPr="00D52D6C">
        <w:t>e</w:t>
      </w:r>
      <w:commentRangeEnd w:id="9"/>
      <w:r w:rsidR="00F95475">
        <w:rPr>
          <w:rStyle w:val="CommentReference"/>
          <w:b w:val="0"/>
          <w:iCs w:val="0"/>
        </w:rPr>
        <w:commentReference w:id="9"/>
      </w:r>
      <w:r>
        <w:t>).</w:t>
      </w:r>
    </w:p>
    <w:p w14:paraId="0070D10B" w14:textId="5037AB4F" w:rsidR="00171AB8" w:rsidRDefault="00C71E64" w:rsidP="0047082C">
      <w:pPr>
        <w:spacing w:before="0" w:after="160"/>
        <w:jc w:val="center"/>
      </w:pPr>
      <w:r>
        <w:rPr>
          <w:noProof/>
        </w:rPr>
        <w:drawing>
          <wp:inline distT="0" distB="0" distL="0" distR="0" wp14:anchorId="3A09A219" wp14:editId="1B9F18E8">
            <wp:extent cx="4566285" cy="3043555"/>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8233"/>
                    <a:stretch/>
                  </pic:blipFill>
                  <pic:spPr bwMode="auto">
                    <a:xfrm>
                      <a:off x="0" y="0"/>
                      <a:ext cx="4566285" cy="3043555"/>
                    </a:xfrm>
                    <a:prstGeom prst="rect">
                      <a:avLst/>
                    </a:prstGeom>
                    <a:noFill/>
                    <a:ln>
                      <a:noFill/>
                    </a:ln>
                    <a:extLst>
                      <a:ext uri="{53640926-AAD7-44D8-BBD7-CCE9431645EC}">
                        <a14:shadowObscured xmlns:a14="http://schemas.microsoft.com/office/drawing/2010/main"/>
                      </a:ext>
                    </a:extLst>
                  </pic:spPr>
                </pic:pic>
              </a:graphicData>
            </a:graphic>
          </wp:inline>
        </w:drawing>
      </w:r>
    </w:p>
    <w:p w14:paraId="0BC8F733" w14:textId="40BAE19B" w:rsidR="00171AB8" w:rsidRDefault="00171AB8" w:rsidP="00171AB8">
      <w:pPr>
        <w:pStyle w:val="Caption"/>
      </w:pPr>
      <w:bookmarkStart w:id="10" w:name="_Ref492717338"/>
      <w:r>
        <w:t xml:space="preserve">Figure </w:t>
      </w:r>
      <w:fldSimple w:instr=" SEQ Figure \* ARABIC ">
        <w:r w:rsidR="001C69BE">
          <w:rPr>
            <w:noProof/>
          </w:rPr>
          <w:t>2</w:t>
        </w:r>
      </w:fldSimple>
      <w:bookmarkEnd w:id="10"/>
      <w:r>
        <w:t xml:space="preserve">. Sources of residential and commercial built environment GHG emissions for King County in 2015 (total = 9.7 million </w:t>
      </w:r>
      <w:commentRangeStart w:id="11"/>
      <w:r w:rsidRPr="00D52D6C">
        <w:t>MgCO</w:t>
      </w:r>
      <w:r w:rsidRPr="00D52D6C">
        <w:rPr>
          <w:vertAlign w:val="subscript"/>
        </w:rPr>
        <w:t>2</w:t>
      </w:r>
      <w:r w:rsidRPr="00D52D6C">
        <w:t>e</w:t>
      </w:r>
      <w:commentRangeEnd w:id="11"/>
      <w:r>
        <w:rPr>
          <w:rStyle w:val="CommentReference"/>
          <w:b w:val="0"/>
          <w:iCs w:val="0"/>
        </w:rPr>
        <w:commentReference w:id="11"/>
      </w:r>
      <w:r>
        <w:t>).</w:t>
      </w:r>
    </w:p>
    <w:p w14:paraId="5F332A22" w14:textId="77777777" w:rsidR="001C69BE" w:rsidRDefault="00171AB8" w:rsidP="0047082C">
      <w:pPr>
        <w:spacing w:before="0" w:after="160"/>
        <w:jc w:val="center"/>
      </w:pPr>
      <w:r>
        <w:rPr>
          <w:noProof/>
        </w:rPr>
        <w:drawing>
          <wp:inline distT="0" distB="0" distL="0" distR="0" wp14:anchorId="10A0C80E" wp14:editId="288ADB24">
            <wp:extent cx="5314384" cy="3389587"/>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7851"/>
                    <a:stretch/>
                  </pic:blipFill>
                  <pic:spPr bwMode="auto">
                    <a:xfrm>
                      <a:off x="0" y="0"/>
                      <a:ext cx="5319676" cy="3392963"/>
                    </a:xfrm>
                    <a:prstGeom prst="rect">
                      <a:avLst/>
                    </a:prstGeom>
                    <a:noFill/>
                    <a:ln>
                      <a:noFill/>
                    </a:ln>
                    <a:extLst>
                      <a:ext uri="{53640926-AAD7-44D8-BBD7-CCE9431645EC}">
                        <a14:shadowObscured xmlns:a14="http://schemas.microsoft.com/office/drawing/2010/main"/>
                      </a:ext>
                    </a:extLst>
                  </pic:spPr>
                </pic:pic>
              </a:graphicData>
            </a:graphic>
          </wp:inline>
        </w:drawing>
      </w:r>
    </w:p>
    <w:p w14:paraId="6CD98E2D" w14:textId="3F0CA77D" w:rsidR="001C69BE" w:rsidRDefault="001C69BE" w:rsidP="001C69BE">
      <w:pPr>
        <w:pStyle w:val="Caption"/>
      </w:pPr>
      <w:bookmarkStart w:id="12" w:name="_Ref492717355"/>
      <w:r>
        <w:lastRenderedPageBreak/>
        <w:t xml:space="preserve">Figure </w:t>
      </w:r>
      <w:fldSimple w:instr=" SEQ Figure \* ARABIC ">
        <w:r>
          <w:rPr>
            <w:noProof/>
          </w:rPr>
          <w:t>3</w:t>
        </w:r>
      </w:fldSimple>
      <w:bookmarkEnd w:id="12"/>
      <w:r>
        <w:t>. Core GHG emissions for King County over time.</w:t>
      </w:r>
    </w:p>
    <w:p w14:paraId="0D454779" w14:textId="2A639BC6" w:rsidR="00D52D6C" w:rsidRDefault="00740961" w:rsidP="0047082C">
      <w:pPr>
        <w:spacing w:before="0" w:after="160"/>
        <w:jc w:val="center"/>
      </w:pPr>
      <w:r>
        <w:rPr>
          <w:noProof/>
        </w:rPr>
        <w:drawing>
          <wp:inline distT="0" distB="0" distL="0" distR="0" wp14:anchorId="6AF32337" wp14:editId="3DD953F1">
            <wp:extent cx="4572635" cy="27311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1111" t="13253" r="1111" b="-13253"/>
                    <a:stretch/>
                  </pic:blipFill>
                  <pic:spPr bwMode="auto">
                    <a:xfrm>
                      <a:off x="0" y="0"/>
                      <a:ext cx="4572635" cy="2731135"/>
                    </a:xfrm>
                    <a:prstGeom prst="rect">
                      <a:avLst/>
                    </a:prstGeom>
                    <a:noFill/>
                    <a:ln>
                      <a:noFill/>
                    </a:ln>
                    <a:extLst>
                      <a:ext uri="{53640926-AAD7-44D8-BBD7-CCE9431645EC}">
                        <a14:shadowObscured xmlns:a14="http://schemas.microsoft.com/office/drawing/2010/main"/>
                      </a:ext>
                    </a:extLst>
                  </pic:spPr>
                </pic:pic>
              </a:graphicData>
            </a:graphic>
          </wp:inline>
        </w:drawing>
      </w:r>
    </w:p>
    <w:p w14:paraId="2020F154" w14:textId="56E631A6" w:rsidR="00CE305B" w:rsidRDefault="00CE305B" w:rsidP="00CE305B">
      <w:pPr>
        <w:pStyle w:val="Caption"/>
      </w:pPr>
      <w:bookmarkStart w:id="13" w:name="_Ref492717423"/>
      <w:r>
        <w:t xml:space="preserve">Figure </w:t>
      </w:r>
      <w:fldSimple w:instr=" SEQ Figure \* ARABIC ">
        <w:r w:rsidR="001C69BE">
          <w:rPr>
            <w:noProof/>
          </w:rPr>
          <w:t>4</w:t>
        </w:r>
      </w:fldSimple>
      <w:bookmarkEnd w:id="13"/>
      <w:r>
        <w:t xml:space="preserve">. </w:t>
      </w:r>
      <w:r w:rsidR="00B24805">
        <w:t>Geographic-p</w:t>
      </w:r>
      <w:r w:rsidR="00063B8D">
        <w:t>lus based GHG</w:t>
      </w:r>
      <w:r>
        <w:t xml:space="preserve"> emissions by sector for King County.</w:t>
      </w:r>
    </w:p>
    <w:p w14:paraId="4738C721" w14:textId="2B3EE436" w:rsidR="008C42BE" w:rsidRDefault="00C71E64" w:rsidP="0047082C">
      <w:pPr>
        <w:jc w:val="center"/>
        <w:rPr>
          <w:b/>
          <w:color w:val="416267" w:themeColor="accent3" w:themeShade="80"/>
          <w:spacing w:val="8"/>
          <w:sz w:val="32"/>
          <w:szCs w:val="32"/>
        </w:rPr>
      </w:pPr>
      <w:r>
        <w:rPr>
          <w:noProof/>
        </w:rPr>
        <w:drawing>
          <wp:inline distT="0" distB="0" distL="0" distR="0" wp14:anchorId="06B851DC" wp14:editId="04361E8E">
            <wp:extent cx="6831029" cy="4037330"/>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4382" cy="4039312"/>
                    </a:xfrm>
                    <a:prstGeom prst="rect">
                      <a:avLst/>
                    </a:prstGeom>
                    <a:noFill/>
                  </pic:spPr>
                </pic:pic>
              </a:graphicData>
            </a:graphic>
          </wp:inline>
        </w:drawing>
      </w:r>
      <w:r w:rsidR="008C42BE">
        <w:br w:type="page"/>
      </w:r>
    </w:p>
    <w:p w14:paraId="210586F0" w14:textId="2075187A" w:rsidR="00F45CAC" w:rsidRDefault="00F45CAC" w:rsidP="00F45CAC">
      <w:pPr>
        <w:pStyle w:val="Heading2"/>
      </w:pPr>
      <w:bookmarkStart w:id="14" w:name="_Toc493104896"/>
      <w:r>
        <w:lastRenderedPageBreak/>
        <w:t xml:space="preserve">2015 Consumption-Based Inventory </w:t>
      </w:r>
      <w:r w:rsidR="002A2156">
        <w:t>F</w:t>
      </w:r>
      <w:r>
        <w:t>indings</w:t>
      </w:r>
      <w:bookmarkEnd w:id="14"/>
    </w:p>
    <w:p w14:paraId="5B17DBD4" w14:textId="77777777" w:rsidR="003C3FC7" w:rsidRDefault="003C3FC7" w:rsidP="003C3FC7">
      <w:pPr>
        <w:pStyle w:val="ListParagraph"/>
        <w:numPr>
          <w:ilvl w:val="0"/>
          <w:numId w:val="45"/>
        </w:numPr>
        <w:spacing w:line="256" w:lineRule="auto"/>
      </w:pPr>
      <w:r>
        <w:t>King County 2015 consumption-based greenhouse gas emissions totaled 58.2 million MgCO</w:t>
      </w:r>
      <w:r>
        <w:rPr>
          <w:vertAlign w:val="subscript"/>
        </w:rPr>
        <w:t>2</w:t>
      </w:r>
      <w:r>
        <w:t>e, slightly less than three times the emissions within the geographic-plus boundary.</w:t>
      </w:r>
    </w:p>
    <w:p w14:paraId="3D593772" w14:textId="77777777" w:rsidR="003C3FC7" w:rsidRDefault="003C3FC7" w:rsidP="003C3FC7">
      <w:pPr>
        <w:pStyle w:val="ListParagraph"/>
        <w:numPr>
          <w:ilvl w:val="0"/>
          <w:numId w:val="45"/>
        </w:numPr>
        <w:spacing w:line="256" w:lineRule="auto"/>
      </w:pPr>
      <w:r>
        <w:t>Between 2008 and 2015, total consumption-based emissions increased by 5.8%, while King County population increased by 13%.</w:t>
      </w:r>
    </w:p>
    <w:p w14:paraId="22B0EBAE" w14:textId="77777777" w:rsidR="003C3FC7" w:rsidRDefault="003C3FC7" w:rsidP="003C3FC7">
      <w:pPr>
        <w:pStyle w:val="ListParagraph"/>
        <w:numPr>
          <w:ilvl w:val="0"/>
          <w:numId w:val="45"/>
        </w:numPr>
        <w:spacing w:line="256" w:lineRule="auto"/>
      </w:pPr>
      <w:r>
        <w:t>41.2 million MgCO</w:t>
      </w:r>
      <w:r>
        <w:rPr>
          <w:vertAlign w:val="subscript"/>
        </w:rPr>
        <w:t>2</w:t>
      </w:r>
      <w:r>
        <w:t>e, or 71%, of the consumption-based emissions are due to households’ consumption of goods and services; the remainder is due to government and to business investment spending.</w:t>
      </w:r>
    </w:p>
    <w:p w14:paraId="784E2ED3" w14:textId="77777777" w:rsidR="003C3FC7" w:rsidRDefault="003C3FC7" w:rsidP="003C3FC7">
      <w:pPr>
        <w:pStyle w:val="ListParagraph"/>
        <w:numPr>
          <w:ilvl w:val="0"/>
          <w:numId w:val="45"/>
        </w:numPr>
        <w:spacing w:line="256" w:lineRule="auto"/>
      </w:pPr>
      <w:r>
        <w:t>41.8 million MgCO</w:t>
      </w:r>
      <w:r>
        <w:rPr>
          <w:vertAlign w:val="subscript"/>
        </w:rPr>
        <w:t>2</w:t>
      </w:r>
      <w:r>
        <w:t>e, or 72%, of the consumption-based emissions are pre-consumer, due to the production and transport of the goods or services.</w:t>
      </w:r>
    </w:p>
    <w:p w14:paraId="6A6752D4" w14:textId="77777777" w:rsidR="003C3FC7" w:rsidRDefault="003C3FC7" w:rsidP="003C3FC7">
      <w:pPr>
        <w:pStyle w:val="ListParagraph"/>
        <w:numPr>
          <w:ilvl w:val="0"/>
          <w:numId w:val="45"/>
        </w:numPr>
        <w:spacing w:line="256" w:lineRule="auto"/>
      </w:pPr>
      <w:r>
        <w:t>In 2015, King County’s largest sources of consumption-based greenhouse gas emissions were vehicles &amp; vehicle parts (21%), appliances including HVAC (14%) and food &amp; beverages (13%).</w:t>
      </w:r>
    </w:p>
    <w:p w14:paraId="18E18ABA" w14:textId="77777777" w:rsidR="003C3FC7" w:rsidRDefault="003C3FC7" w:rsidP="003C3FC7">
      <w:pPr>
        <w:pStyle w:val="ListParagraph"/>
        <w:numPr>
          <w:ilvl w:val="0"/>
          <w:numId w:val="45"/>
        </w:numPr>
        <w:spacing w:line="256" w:lineRule="auto"/>
      </w:pPr>
      <w:r>
        <w:t>Relative to 2005, the biggest increases in emissions were attributed to services (+1.41 million MgCO</w:t>
      </w:r>
      <w:r>
        <w:rPr>
          <w:vertAlign w:val="subscript"/>
        </w:rPr>
        <w:t>2</w:t>
      </w:r>
      <w:r>
        <w:t>e), vehicles &amp; vehicle parts (+977 million MgCO</w:t>
      </w:r>
      <w:r>
        <w:rPr>
          <w:vertAlign w:val="subscript"/>
        </w:rPr>
        <w:t>2</w:t>
      </w:r>
      <w:r>
        <w:t>e) and transportation services (+785 million MgCO</w:t>
      </w:r>
      <w:r>
        <w:rPr>
          <w:vertAlign w:val="subscript"/>
        </w:rPr>
        <w:t>2</w:t>
      </w:r>
      <w:r>
        <w:t>e).</w:t>
      </w:r>
    </w:p>
    <w:p w14:paraId="1F93B0C7" w14:textId="77777777" w:rsidR="003C3FC7" w:rsidRDefault="003C3FC7" w:rsidP="003C3FC7">
      <w:pPr>
        <w:pStyle w:val="Caption"/>
      </w:pPr>
      <w:r>
        <w:t xml:space="preserve">Figure </w:t>
      </w:r>
      <w:fldSimple w:instr=" SEQ Figure \* ARABIC ">
        <w:r>
          <w:rPr>
            <w:noProof/>
          </w:rPr>
          <w:t>2</w:t>
        </w:r>
      </w:fldSimple>
      <w:r>
        <w:t>. Causes of consumption-based GHG emissions for King County in 2015 (total = 58.2 million MgCO</w:t>
      </w:r>
      <w:r>
        <w:rPr>
          <w:vertAlign w:val="subscript"/>
        </w:rPr>
        <w:t>2</w:t>
      </w:r>
      <w:r>
        <w:t>e).</w:t>
      </w:r>
    </w:p>
    <w:p w14:paraId="7FF18666" w14:textId="6A3D1780" w:rsidR="003C3FC7" w:rsidRPr="003C3FC7" w:rsidRDefault="003C3FC7" w:rsidP="003C3FC7">
      <w:r>
        <w:rPr>
          <w:noProof/>
        </w:rPr>
        <w:drawing>
          <wp:inline distT="0" distB="0" distL="0" distR="0" wp14:anchorId="44BB8AFA" wp14:editId="3D54D94D">
            <wp:extent cx="5943600" cy="299847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98470"/>
                    </a:xfrm>
                    <a:prstGeom prst="rect">
                      <a:avLst/>
                    </a:prstGeom>
                    <a:noFill/>
                    <a:ln>
                      <a:noFill/>
                    </a:ln>
                  </pic:spPr>
                </pic:pic>
              </a:graphicData>
            </a:graphic>
          </wp:inline>
        </w:drawing>
      </w:r>
    </w:p>
    <w:p w14:paraId="648719B3" w14:textId="63E06FA5" w:rsidR="008D10CB" w:rsidRPr="00E14BC4" w:rsidRDefault="00CF01AE" w:rsidP="00FF0FC7">
      <w:pPr>
        <w:pStyle w:val="Heading1"/>
      </w:pPr>
      <w:bookmarkStart w:id="15" w:name="_Toc493104897"/>
      <w:r>
        <w:lastRenderedPageBreak/>
        <w:t>Acronym</w:t>
      </w:r>
      <w:r w:rsidR="00243B61">
        <w:t>s</w:t>
      </w:r>
      <w:bookmarkEnd w:id="15"/>
      <w:r w:rsidR="00E14BC4">
        <w:tab/>
      </w:r>
      <w:r w:rsidR="00293D96">
        <w:t xml:space="preserve"> </w:t>
      </w:r>
    </w:p>
    <w:p w14:paraId="686BE85B" w14:textId="2D28753A" w:rsidR="00CF01AE" w:rsidRPr="00CA1D5B" w:rsidRDefault="00CF01AE" w:rsidP="00CF01AE">
      <w:pPr>
        <w:pStyle w:val="Caption"/>
      </w:pPr>
    </w:p>
    <w:tbl>
      <w:tblPr>
        <w:tblW w:w="9360" w:type="dxa"/>
        <w:tblLook w:val="04A0" w:firstRow="1" w:lastRow="0" w:firstColumn="1" w:lastColumn="0" w:noHBand="0" w:noVBand="1"/>
      </w:tblPr>
      <w:tblGrid>
        <w:gridCol w:w="1980"/>
        <w:gridCol w:w="7380"/>
      </w:tblGrid>
      <w:tr w:rsidR="00311849" w:rsidRPr="00CA1D5B" w14:paraId="6C215340" w14:textId="77777777" w:rsidTr="00FF0FC7">
        <w:trPr>
          <w:trHeight w:val="300"/>
        </w:trPr>
        <w:tc>
          <w:tcPr>
            <w:tcW w:w="1980" w:type="dxa"/>
            <w:shd w:val="clear" w:color="000000" w:fill="FFFFFF"/>
            <w:noWrap/>
          </w:tcPr>
          <w:p w14:paraId="27053D89" w14:textId="5583B17D" w:rsidR="00311849" w:rsidRPr="00CA1D5B" w:rsidRDefault="00311849" w:rsidP="00FF0FC7">
            <w:pPr>
              <w:spacing w:before="0"/>
            </w:pPr>
            <w:r>
              <w:t>BOD</w:t>
            </w:r>
          </w:p>
        </w:tc>
        <w:tc>
          <w:tcPr>
            <w:tcW w:w="7380" w:type="dxa"/>
            <w:shd w:val="clear" w:color="000000" w:fill="FFFFFF"/>
            <w:noWrap/>
          </w:tcPr>
          <w:p w14:paraId="0F1678B4" w14:textId="56798CAA" w:rsidR="00311849" w:rsidRDefault="00311849" w:rsidP="00FF0FC7">
            <w:pPr>
              <w:spacing w:before="0"/>
            </w:pPr>
            <w:r>
              <w:t>Biochemical oxygen demand (a metric of the effectiveness of wastewater treatment plants)</w:t>
            </w:r>
          </w:p>
        </w:tc>
      </w:tr>
      <w:tr w:rsidR="00CF01AE" w:rsidRPr="00CA1D5B" w14:paraId="67DA56D1" w14:textId="77777777" w:rsidTr="00FF0FC7">
        <w:trPr>
          <w:trHeight w:val="300"/>
        </w:trPr>
        <w:tc>
          <w:tcPr>
            <w:tcW w:w="1980" w:type="dxa"/>
            <w:shd w:val="clear" w:color="000000" w:fill="FFFFFF"/>
            <w:noWrap/>
            <w:hideMark/>
          </w:tcPr>
          <w:p w14:paraId="385F1FB0" w14:textId="77777777" w:rsidR="00CF01AE" w:rsidRPr="00CA1D5B" w:rsidRDefault="00CF01AE" w:rsidP="00FF0FC7">
            <w:pPr>
              <w:spacing w:before="0"/>
            </w:pPr>
            <w:r w:rsidRPr="00CA1D5B">
              <w:t>EIA</w:t>
            </w:r>
          </w:p>
        </w:tc>
        <w:tc>
          <w:tcPr>
            <w:tcW w:w="7380" w:type="dxa"/>
            <w:shd w:val="clear" w:color="000000" w:fill="FFFFFF"/>
            <w:noWrap/>
            <w:hideMark/>
          </w:tcPr>
          <w:p w14:paraId="344F78CE" w14:textId="0425FB47" w:rsidR="00CF01AE" w:rsidRPr="00CA1D5B" w:rsidRDefault="00CF01AE" w:rsidP="00FF0FC7">
            <w:pPr>
              <w:spacing w:before="0"/>
            </w:pPr>
            <w:r>
              <w:t>United States</w:t>
            </w:r>
            <w:r w:rsidRPr="00CA1D5B">
              <w:t xml:space="preserve"> Energy Information Association</w:t>
            </w:r>
          </w:p>
        </w:tc>
      </w:tr>
      <w:tr w:rsidR="00E62CA6" w:rsidRPr="00CA1D5B" w14:paraId="2B733538" w14:textId="77777777" w:rsidTr="00FF0FC7">
        <w:trPr>
          <w:trHeight w:val="300"/>
        </w:trPr>
        <w:tc>
          <w:tcPr>
            <w:tcW w:w="1980" w:type="dxa"/>
            <w:shd w:val="clear" w:color="000000" w:fill="FFFFFF"/>
            <w:noWrap/>
          </w:tcPr>
          <w:p w14:paraId="6248C36D" w14:textId="47D17A76" w:rsidR="00E62CA6" w:rsidRPr="00CA1D5B" w:rsidRDefault="00E62CA6" w:rsidP="00FF0FC7">
            <w:pPr>
              <w:spacing w:before="0"/>
            </w:pPr>
            <w:r w:rsidRPr="00CA1D5B">
              <w:t>EPA</w:t>
            </w:r>
          </w:p>
        </w:tc>
        <w:tc>
          <w:tcPr>
            <w:tcW w:w="7380" w:type="dxa"/>
            <w:shd w:val="clear" w:color="000000" w:fill="FFFFFF"/>
            <w:noWrap/>
          </w:tcPr>
          <w:p w14:paraId="1C7E1187" w14:textId="4A53DA55" w:rsidR="00E62CA6" w:rsidRDefault="00E62CA6" w:rsidP="00FF0FC7">
            <w:pPr>
              <w:spacing w:before="0"/>
            </w:pPr>
            <w:r>
              <w:t>United States</w:t>
            </w:r>
            <w:r w:rsidRPr="00CA1D5B">
              <w:t xml:space="preserve"> Environmental Protection Agency</w:t>
            </w:r>
          </w:p>
        </w:tc>
      </w:tr>
      <w:tr w:rsidR="00E62CA6" w:rsidRPr="00CA1D5B" w14:paraId="271B61E4" w14:textId="77777777" w:rsidTr="00FF0FC7">
        <w:trPr>
          <w:trHeight w:val="300"/>
        </w:trPr>
        <w:tc>
          <w:tcPr>
            <w:tcW w:w="1980" w:type="dxa"/>
            <w:shd w:val="clear" w:color="000000" w:fill="FFFFFF"/>
            <w:noWrap/>
          </w:tcPr>
          <w:p w14:paraId="43FB73DE" w14:textId="0DEBC413" w:rsidR="00E62CA6" w:rsidRPr="00CA1D5B" w:rsidRDefault="00E62CA6" w:rsidP="00FF0FC7">
            <w:pPr>
              <w:spacing w:before="0"/>
            </w:pPr>
            <w:r>
              <w:t>CO</w:t>
            </w:r>
            <w:r w:rsidRPr="00863D76">
              <w:rPr>
                <w:vertAlign w:val="subscript"/>
              </w:rPr>
              <w:t>2</w:t>
            </w:r>
            <w:r>
              <w:t>e</w:t>
            </w:r>
          </w:p>
        </w:tc>
        <w:tc>
          <w:tcPr>
            <w:tcW w:w="7380" w:type="dxa"/>
            <w:shd w:val="clear" w:color="000000" w:fill="FFFFFF"/>
            <w:noWrap/>
          </w:tcPr>
          <w:p w14:paraId="2098F5D3" w14:textId="28CDD489" w:rsidR="00E62CA6" w:rsidRDefault="00E62CA6" w:rsidP="00FF0FC7">
            <w:pPr>
              <w:spacing w:before="0"/>
            </w:pPr>
            <w:r>
              <w:t>Carbon dioxide equivalents</w:t>
            </w:r>
          </w:p>
        </w:tc>
      </w:tr>
      <w:tr w:rsidR="00E62CA6" w:rsidRPr="00CA1D5B" w14:paraId="1580A79C" w14:textId="77777777" w:rsidTr="00FF0FC7">
        <w:trPr>
          <w:trHeight w:val="300"/>
        </w:trPr>
        <w:tc>
          <w:tcPr>
            <w:tcW w:w="1980" w:type="dxa"/>
            <w:shd w:val="clear" w:color="000000" w:fill="FFFFFF"/>
            <w:noWrap/>
            <w:hideMark/>
          </w:tcPr>
          <w:p w14:paraId="3E4183EA" w14:textId="13C47AA0" w:rsidR="00E62CA6" w:rsidRPr="00CA1D5B" w:rsidRDefault="00E62CA6" w:rsidP="00FF0FC7">
            <w:pPr>
              <w:spacing w:before="0"/>
            </w:pPr>
            <w:r>
              <w:t>GHG</w:t>
            </w:r>
          </w:p>
        </w:tc>
        <w:tc>
          <w:tcPr>
            <w:tcW w:w="7380" w:type="dxa"/>
            <w:shd w:val="clear" w:color="000000" w:fill="FFFFFF"/>
            <w:noWrap/>
            <w:hideMark/>
          </w:tcPr>
          <w:p w14:paraId="726E88BD" w14:textId="045D72E5" w:rsidR="00E62CA6" w:rsidRPr="00CA1D5B" w:rsidRDefault="00E62CA6" w:rsidP="00FF0FC7">
            <w:pPr>
              <w:spacing w:before="0"/>
            </w:pPr>
            <w:r>
              <w:t>Greenhouse gas (limited to CO</w:t>
            </w:r>
            <w:r w:rsidRPr="00863D76">
              <w:rPr>
                <w:vertAlign w:val="subscript"/>
              </w:rPr>
              <w:t>2</w:t>
            </w:r>
            <w:r>
              <w:t>, CH</w:t>
            </w:r>
            <w:r w:rsidRPr="00863D76">
              <w:rPr>
                <w:vertAlign w:val="subscript"/>
              </w:rPr>
              <w:t>4</w:t>
            </w:r>
            <w:r>
              <w:t>, N</w:t>
            </w:r>
            <w:r w:rsidRPr="00863D76">
              <w:rPr>
                <w:vertAlign w:val="subscript"/>
              </w:rPr>
              <w:t>2</w:t>
            </w:r>
            <w:r>
              <w:t>O, and fugitive gases in this inventory</w:t>
            </w:r>
          </w:p>
        </w:tc>
      </w:tr>
      <w:tr w:rsidR="00E62CA6" w:rsidRPr="00CA1D5B" w14:paraId="67794643" w14:textId="77777777" w:rsidTr="00FF0FC7">
        <w:trPr>
          <w:trHeight w:val="300"/>
        </w:trPr>
        <w:tc>
          <w:tcPr>
            <w:tcW w:w="1980" w:type="dxa"/>
            <w:shd w:val="clear" w:color="000000" w:fill="FFFFFF"/>
            <w:noWrap/>
          </w:tcPr>
          <w:p w14:paraId="3BDD9393" w14:textId="6E0AEB69" w:rsidR="00E62CA6" w:rsidRPr="00CA1D5B" w:rsidRDefault="00E62CA6" w:rsidP="00FF0FC7">
            <w:pPr>
              <w:spacing w:before="0"/>
            </w:pPr>
            <w:r>
              <w:t>MOVES</w:t>
            </w:r>
          </w:p>
        </w:tc>
        <w:tc>
          <w:tcPr>
            <w:tcW w:w="7380" w:type="dxa"/>
            <w:shd w:val="clear" w:color="000000" w:fill="FFFFFF"/>
            <w:noWrap/>
          </w:tcPr>
          <w:p w14:paraId="3E73470B" w14:textId="037E3757" w:rsidR="00E62CA6" w:rsidRDefault="00E62CA6" w:rsidP="00FF0FC7">
            <w:pPr>
              <w:spacing w:before="0"/>
            </w:pPr>
            <w:r>
              <w:t>Motor Vehicle Emission Simulator model (developed by EPA to quantify emissions from mobile sources)</w:t>
            </w:r>
          </w:p>
        </w:tc>
      </w:tr>
      <w:tr w:rsidR="00E62CA6" w:rsidRPr="00CA1D5B" w14:paraId="61DA0D9F" w14:textId="77777777" w:rsidTr="00FF0FC7">
        <w:trPr>
          <w:trHeight w:val="300"/>
        </w:trPr>
        <w:tc>
          <w:tcPr>
            <w:tcW w:w="1980" w:type="dxa"/>
            <w:shd w:val="clear" w:color="000000" w:fill="FFFFFF"/>
            <w:noWrap/>
          </w:tcPr>
          <w:p w14:paraId="5C20DD72" w14:textId="3D6215D3" w:rsidR="00E62CA6" w:rsidRPr="00CA1D5B" w:rsidRDefault="00E62CA6" w:rsidP="00FF0FC7">
            <w:pPr>
              <w:spacing w:before="0"/>
            </w:pPr>
            <w:r>
              <w:t>NONROAD</w:t>
            </w:r>
          </w:p>
        </w:tc>
        <w:tc>
          <w:tcPr>
            <w:tcW w:w="7380" w:type="dxa"/>
            <w:shd w:val="clear" w:color="000000" w:fill="FFFFFF"/>
            <w:noWrap/>
          </w:tcPr>
          <w:p w14:paraId="73DC3494" w14:textId="599AF3F4" w:rsidR="00E62CA6" w:rsidRDefault="00E62CA6" w:rsidP="00FF0FC7">
            <w:pPr>
              <w:spacing w:before="0"/>
            </w:pPr>
            <w:r>
              <w:t>(Developed by EPA to quantify non-road mobile emissions)</w:t>
            </w:r>
          </w:p>
        </w:tc>
      </w:tr>
      <w:tr w:rsidR="00BB509C" w:rsidRPr="00CA1D5B" w14:paraId="1C1AD325" w14:textId="77777777" w:rsidTr="00FF0FC7">
        <w:trPr>
          <w:trHeight w:val="300"/>
        </w:trPr>
        <w:tc>
          <w:tcPr>
            <w:tcW w:w="1980" w:type="dxa"/>
            <w:shd w:val="clear" w:color="000000" w:fill="FFFFFF"/>
            <w:noWrap/>
          </w:tcPr>
          <w:p w14:paraId="0FAB4B19" w14:textId="4C23059D" w:rsidR="00BB509C" w:rsidRDefault="00BB509C" w:rsidP="00FF0FC7">
            <w:pPr>
              <w:spacing w:before="0"/>
            </w:pPr>
            <w:r>
              <w:t>ODS</w:t>
            </w:r>
          </w:p>
        </w:tc>
        <w:tc>
          <w:tcPr>
            <w:tcW w:w="7380" w:type="dxa"/>
            <w:shd w:val="clear" w:color="000000" w:fill="FFFFFF"/>
            <w:noWrap/>
          </w:tcPr>
          <w:p w14:paraId="396CC052" w14:textId="38A78923" w:rsidR="00BB509C" w:rsidRDefault="00BB509C" w:rsidP="00FF0FC7">
            <w:pPr>
              <w:spacing w:before="0"/>
            </w:pPr>
            <w:r>
              <w:t>Ozone depleting substance</w:t>
            </w:r>
          </w:p>
        </w:tc>
      </w:tr>
      <w:tr w:rsidR="00E62CA6" w:rsidRPr="00CA1D5B" w14:paraId="1E8DD4A3" w14:textId="77777777" w:rsidTr="00FF0FC7">
        <w:trPr>
          <w:trHeight w:val="300"/>
        </w:trPr>
        <w:tc>
          <w:tcPr>
            <w:tcW w:w="1980" w:type="dxa"/>
            <w:shd w:val="clear" w:color="000000" w:fill="FFFFFF"/>
            <w:noWrap/>
          </w:tcPr>
          <w:p w14:paraId="44087194" w14:textId="620928E2" w:rsidR="00E62CA6" w:rsidRPr="00CA1D5B" w:rsidRDefault="00E62CA6" w:rsidP="00FF0FC7">
            <w:pPr>
              <w:spacing w:before="0"/>
            </w:pPr>
            <w:r w:rsidRPr="00CA1D5B">
              <w:t>PSCAA</w:t>
            </w:r>
          </w:p>
        </w:tc>
        <w:tc>
          <w:tcPr>
            <w:tcW w:w="7380" w:type="dxa"/>
            <w:shd w:val="clear" w:color="000000" w:fill="FFFFFF"/>
            <w:noWrap/>
          </w:tcPr>
          <w:p w14:paraId="12FA11E9" w14:textId="020B2430" w:rsidR="00E62CA6" w:rsidRDefault="00E62CA6" w:rsidP="00FF0FC7">
            <w:pPr>
              <w:spacing w:before="0"/>
            </w:pPr>
            <w:r w:rsidRPr="00CA1D5B">
              <w:t>Puget Sound Clean Air Agency</w:t>
            </w:r>
          </w:p>
        </w:tc>
      </w:tr>
      <w:tr w:rsidR="00E62CA6" w:rsidRPr="00CA1D5B" w14:paraId="493A3039" w14:textId="77777777" w:rsidTr="00FF0FC7">
        <w:trPr>
          <w:trHeight w:val="300"/>
        </w:trPr>
        <w:tc>
          <w:tcPr>
            <w:tcW w:w="1980" w:type="dxa"/>
            <w:shd w:val="clear" w:color="000000" w:fill="FFFFFF"/>
            <w:noWrap/>
          </w:tcPr>
          <w:p w14:paraId="752A16B0" w14:textId="141F4B7F" w:rsidR="00E62CA6" w:rsidRDefault="00E62CA6" w:rsidP="00FF0FC7">
            <w:pPr>
              <w:spacing w:before="0"/>
            </w:pPr>
            <w:r w:rsidRPr="00CA1D5B">
              <w:t>PSE</w:t>
            </w:r>
          </w:p>
        </w:tc>
        <w:tc>
          <w:tcPr>
            <w:tcW w:w="7380" w:type="dxa"/>
            <w:shd w:val="clear" w:color="000000" w:fill="FFFFFF"/>
            <w:noWrap/>
          </w:tcPr>
          <w:p w14:paraId="6AB552E6" w14:textId="0A8B6C9F" w:rsidR="00E62CA6" w:rsidRDefault="00E62CA6" w:rsidP="00FF0FC7">
            <w:pPr>
              <w:spacing w:before="0"/>
            </w:pPr>
            <w:r w:rsidRPr="00CA1D5B">
              <w:t>Puget Sound Energy</w:t>
            </w:r>
          </w:p>
        </w:tc>
      </w:tr>
      <w:tr w:rsidR="00E62CA6" w:rsidRPr="00CA1D5B" w14:paraId="40C4D996" w14:textId="77777777" w:rsidTr="0090295D">
        <w:trPr>
          <w:trHeight w:val="300"/>
        </w:trPr>
        <w:tc>
          <w:tcPr>
            <w:tcW w:w="1980" w:type="dxa"/>
            <w:shd w:val="clear" w:color="000000" w:fill="FFFFFF"/>
            <w:noWrap/>
            <w:hideMark/>
          </w:tcPr>
          <w:p w14:paraId="03AAC359" w14:textId="30529570" w:rsidR="00E62CA6" w:rsidRPr="00CA1D5B" w:rsidRDefault="00E62CA6" w:rsidP="00FF0FC7">
            <w:pPr>
              <w:spacing w:before="0"/>
            </w:pPr>
            <w:r w:rsidRPr="00CA1D5B">
              <w:t>PSRC</w:t>
            </w:r>
          </w:p>
        </w:tc>
        <w:tc>
          <w:tcPr>
            <w:tcW w:w="7380" w:type="dxa"/>
            <w:shd w:val="clear" w:color="000000" w:fill="FFFFFF"/>
            <w:noWrap/>
            <w:hideMark/>
          </w:tcPr>
          <w:p w14:paraId="4914DF3C" w14:textId="6FB778FA" w:rsidR="00E62CA6" w:rsidRPr="00CA1D5B" w:rsidRDefault="00E62CA6" w:rsidP="00FF0FC7">
            <w:pPr>
              <w:spacing w:before="0"/>
            </w:pPr>
            <w:r w:rsidRPr="00CA1D5B">
              <w:t>Puget Sound Regional Council</w:t>
            </w:r>
          </w:p>
        </w:tc>
      </w:tr>
      <w:tr w:rsidR="00E62CA6" w:rsidRPr="00CA1D5B" w14:paraId="0F0175F3" w14:textId="77777777" w:rsidTr="0090295D">
        <w:trPr>
          <w:trHeight w:val="300"/>
        </w:trPr>
        <w:tc>
          <w:tcPr>
            <w:tcW w:w="1980" w:type="dxa"/>
            <w:shd w:val="clear" w:color="000000" w:fill="FFFFFF"/>
            <w:noWrap/>
            <w:hideMark/>
          </w:tcPr>
          <w:p w14:paraId="5ADC32B2" w14:textId="2D1F6603" w:rsidR="00E62CA6" w:rsidRPr="00CA1D5B" w:rsidRDefault="00E62CA6" w:rsidP="00FF0FC7">
            <w:pPr>
              <w:spacing w:before="0"/>
            </w:pPr>
            <w:r w:rsidRPr="00CA1D5B">
              <w:t>SCL</w:t>
            </w:r>
          </w:p>
        </w:tc>
        <w:tc>
          <w:tcPr>
            <w:tcW w:w="7380" w:type="dxa"/>
            <w:shd w:val="clear" w:color="000000" w:fill="FFFFFF"/>
            <w:noWrap/>
            <w:hideMark/>
          </w:tcPr>
          <w:p w14:paraId="4C91C362" w14:textId="1EC66830" w:rsidR="00E62CA6" w:rsidRPr="00CA1D5B" w:rsidRDefault="00E62CA6" w:rsidP="00FF0FC7">
            <w:pPr>
              <w:spacing w:before="0"/>
            </w:pPr>
            <w:r w:rsidRPr="00CA1D5B">
              <w:t>Seattle City Light</w:t>
            </w:r>
          </w:p>
        </w:tc>
      </w:tr>
      <w:tr w:rsidR="00E62CA6" w:rsidRPr="00CA1D5B" w14:paraId="303D5001" w14:textId="77777777" w:rsidTr="0090295D">
        <w:trPr>
          <w:trHeight w:val="300"/>
        </w:trPr>
        <w:tc>
          <w:tcPr>
            <w:tcW w:w="1980" w:type="dxa"/>
            <w:shd w:val="clear" w:color="000000" w:fill="FFFFFF"/>
            <w:noWrap/>
            <w:hideMark/>
          </w:tcPr>
          <w:p w14:paraId="46169B9B" w14:textId="22165B94" w:rsidR="00E62CA6" w:rsidRPr="00CA1D5B" w:rsidRDefault="00E62CA6" w:rsidP="00FF0FC7">
            <w:pPr>
              <w:spacing w:before="0"/>
            </w:pPr>
            <w:r w:rsidRPr="00CA1D5B">
              <w:t>SPU</w:t>
            </w:r>
          </w:p>
        </w:tc>
        <w:tc>
          <w:tcPr>
            <w:tcW w:w="7380" w:type="dxa"/>
            <w:shd w:val="clear" w:color="000000" w:fill="FFFFFF"/>
            <w:noWrap/>
            <w:hideMark/>
          </w:tcPr>
          <w:p w14:paraId="6C5C6937" w14:textId="503FF109" w:rsidR="00E62CA6" w:rsidRPr="00CA1D5B" w:rsidRDefault="00E62CA6" w:rsidP="00FF0FC7">
            <w:pPr>
              <w:spacing w:before="0"/>
            </w:pPr>
            <w:r w:rsidRPr="00CA1D5B">
              <w:t xml:space="preserve">Seattle Public Utilities </w:t>
            </w:r>
          </w:p>
        </w:tc>
      </w:tr>
      <w:tr w:rsidR="00E62CA6" w:rsidRPr="00CA1D5B" w14:paraId="52901980" w14:textId="77777777" w:rsidTr="0090295D">
        <w:trPr>
          <w:trHeight w:val="300"/>
        </w:trPr>
        <w:tc>
          <w:tcPr>
            <w:tcW w:w="1980" w:type="dxa"/>
            <w:shd w:val="clear" w:color="000000" w:fill="FFFFFF"/>
            <w:noWrap/>
            <w:hideMark/>
          </w:tcPr>
          <w:p w14:paraId="3B32F4EE" w14:textId="13652765" w:rsidR="00E62CA6" w:rsidRPr="00CA1D5B" w:rsidRDefault="00E62CA6" w:rsidP="00FF0FC7">
            <w:pPr>
              <w:spacing w:before="0"/>
            </w:pPr>
            <w:r>
              <w:t>TCR</w:t>
            </w:r>
          </w:p>
        </w:tc>
        <w:tc>
          <w:tcPr>
            <w:tcW w:w="7380" w:type="dxa"/>
            <w:shd w:val="clear" w:color="000000" w:fill="FFFFFF"/>
            <w:noWrap/>
            <w:hideMark/>
          </w:tcPr>
          <w:p w14:paraId="2CEB1BA3" w14:textId="1935C8C2" w:rsidR="00E62CA6" w:rsidRPr="00CA1D5B" w:rsidRDefault="00E62CA6" w:rsidP="00FF0FC7">
            <w:pPr>
              <w:spacing w:before="0"/>
            </w:pPr>
            <w:r>
              <w:t>The Climate Registry</w:t>
            </w:r>
          </w:p>
        </w:tc>
      </w:tr>
      <w:tr w:rsidR="00E62CA6" w:rsidRPr="00CA1D5B" w14:paraId="71790346" w14:textId="77777777" w:rsidTr="0090295D">
        <w:trPr>
          <w:trHeight w:val="300"/>
        </w:trPr>
        <w:tc>
          <w:tcPr>
            <w:tcW w:w="1980" w:type="dxa"/>
            <w:shd w:val="clear" w:color="000000" w:fill="FFFFFF"/>
            <w:noWrap/>
            <w:hideMark/>
          </w:tcPr>
          <w:p w14:paraId="7D2F22CE" w14:textId="6701DE57" w:rsidR="00E62CA6" w:rsidRPr="00CA1D5B" w:rsidRDefault="00E62CA6" w:rsidP="00FF0FC7">
            <w:pPr>
              <w:spacing w:before="0"/>
            </w:pPr>
            <w:r w:rsidRPr="00CA1D5B">
              <w:t>USDA</w:t>
            </w:r>
          </w:p>
        </w:tc>
        <w:tc>
          <w:tcPr>
            <w:tcW w:w="7380" w:type="dxa"/>
            <w:shd w:val="clear" w:color="000000" w:fill="FFFFFF"/>
            <w:noWrap/>
            <w:hideMark/>
          </w:tcPr>
          <w:p w14:paraId="14573AD7" w14:textId="33E72EC9" w:rsidR="00E62CA6" w:rsidRPr="00CA1D5B" w:rsidRDefault="00E62CA6" w:rsidP="00FF0FC7">
            <w:pPr>
              <w:spacing w:before="0"/>
            </w:pPr>
            <w:r w:rsidRPr="00CA1D5B">
              <w:t>U</w:t>
            </w:r>
            <w:r>
              <w:t>nited States</w:t>
            </w:r>
            <w:r w:rsidRPr="00CA1D5B">
              <w:t xml:space="preserve"> Department of Agriculture</w:t>
            </w:r>
          </w:p>
        </w:tc>
      </w:tr>
      <w:tr w:rsidR="00E62CA6" w:rsidRPr="00CA1D5B" w14:paraId="32DD2805" w14:textId="77777777" w:rsidTr="00CF01AE">
        <w:trPr>
          <w:trHeight w:val="300"/>
        </w:trPr>
        <w:tc>
          <w:tcPr>
            <w:tcW w:w="1980" w:type="dxa"/>
            <w:shd w:val="clear" w:color="000000" w:fill="FFFFFF"/>
            <w:noWrap/>
          </w:tcPr>
          <w:p w14:paraId="6EAF567E" w14:textId="1A7A7AF1" w:rsidR="00E62CA6" w:rsidRPr="00CA1D5B" w:rsidRDefault="00E62CA6">
            <w:pPr>
              <w:spacing w:before="0"/>
            </w:pPr>
            <w:r>
              <w:t>WARM</w:t>
            </w:r>
          </w:p>
        </w:tc>
        <w:tc>
          <w:tcPr>
            <w:tcW w:w="7380" w:type="dxa"/>
            <w:shd w:val="clear" w:color="000000" w:fill="FFFFFF"/>
            <w:noWrap/>
          </w:tcPr>
          <w:p w14:paraId="57960F7E" w14:textId="77BDCD32" w:rsidR="00E62CA6" w:rsidRPr="00CA1D5B" w:rsidRDefault="00E62CA6">
            <w:pPr>
              <w:spacing w:before="0"/>
            </w:pPr>
            <w:r>
              <w:t>Waste Reduction Model (model developed by EPA to quantify solid waste emissions)</w:t>
            </w:r>
          </w:p>
        </w:tc>
      </w:tr>
      <w:tr w:rsidR="00E62CA6" w:rsidRPr="00CA1D5B" w14:paraId="0C2326AA" w14:textId="77777777" w:rsidTr="0090295D">
        <w:trPr>
          <w:trHeight w:val="300"/>
        </w:trPr>
        <w:tc>
          <w:tcPr>
            <w:tcW w:w="1980" w:type="dxa"/>
            <w:shd w:val="clear" w:color="000000" w:fill="FFFFFF"/>
            <w:noWrap/>
            <w:hideMark/>
          </w:tcPr>
          <w:p w14:paraId="4A7F84F9" w14:textId="0FC2CF63" w:rsidR="00E62CA6" w:rsidRPr="00CA1D5B" w:rsidRDefault="00E62CA6" w:rsidP="00FF0FC7">
            <w:pPr>
              <w:spacing w:before="0"/>
            </w:pPr>
            <w:r>
              <w:t>WSDOT</w:t>
            </w:r>
          </w:p>
        </w:tc>
        <w:tc>
          <w:tcPr>
            <w:tcW w:w="7380" w:type="dxa"/>
            <w:shd w:val="clear" w:color="000000" w:fill="FFFFFF"/>
            <w:noWrap/>
            <w:hideMark/>
          </w:tcPr>
          <w:p w14:paraId="191D17B4" w14:textId="2EF12494" w:rsidR="00E62CA6" w:rsidRPr="00CA1D5B" w:rsidRDefault="00E62CA6" w:rsidP="00FF0FC7">
            <w:pPr>
              <w:spacing w:before="0"/>
            </w:pPr>
            <w:r>
              <w:t>Washington Department of Transportation</w:t>
            </w:r>
          </w:p>
        </w:tc>
      </w:tr>
      <w:tr w:rsidR="00E62CA6" w:rsidRPr="00CA1D5B" w14:paraId="4D427FB8" w14:textId="77777777" w:rsidTr="0090295D">
        <w:trPr>
          <w:trHeight w:val="300"/>
        </w:trPr>
        <w:tc>
          <w:tcPr>
            <w:tcW w:w="1980" w:type="dxa"/>
            <w:shd w:val="clear" w:color="000000" w:fill="FFFFFF"/>
            <w:noWrap/>
          </w:tcPr>
          <w:p w14:paraId="50463D03" w14:textId="6455EE94" w:rsidR="00E62CA6" w:rsidRDefault="00E62CA6" w:rsidP="00FF0FC7">
            <w:pPr>
              <w:spacing w:before="0"/>
            </w:pPr>
            <w:r>
              <w:t>VMT</w:t>
            </w:r>
          </w:p>
        </w:tc>
        <w:tc>
          <w:tcPr>
            <w:tcW w:w="7380" w:type="dxa"/>
            <w:shd w:val="clear" w:color="000000" w:fill="FFFFFF"/>
            <w:noWrap/>
          </w:tcPr>
          <w:p w14:paraId="319F746E" w14:textId="78FABC97" w:rsidR="00E62CA6" w:rsidRDefault="00E62CA6" w:rsidP="00FF0FC7">
            <w:pPr>
              <w:spacing w:before="0"/>
            </w:pPr>
            <w:r>
              <w:t>Vehicle Miles Travelled</w:t>
            </w:r>
          </w:p>
        </w:tc>
      </w:tr>
      <w:tr w:rsidR="00E62CA6" w:rsidRPr="00CA1D5B" w14:paraId="20809646" w14:textId="77777777" w:rsidTr="0090295D">
        <w:trPr>
          <w:trHeight w:val="300"/>
        </w:trPr>
        <w:tc>
          <w:tcPr>
            <w:tcW w:w="1980" w:type="dxa"/>
            <w:shd w:val="clear" w:color="000000" w:fill="FFFFFF"/>
            <w:noWrap/>
          </w:tcPr>
          <w:p w14:paraId="3B8F0C2B" w14:textId="5D5C20F1" w:rsidR="00E62CA6" w:rsidRPr="00CA1D5B" w:rsidRDefault="00F95475" w:rsidP="00FF0FC7">
            <w:pPr>
              <w:spacing w:before="0"/>
            </w:pPr>
            <w:r>
              <w:t>MgCO</w:t>
            </w:r>
            <w:r w:rsidRPr="00F47407">
              <w:rPr>
                <w:vertAlign w:val="subscript"/>
              </w:rPr>
              <w:t>2</w:t>
            </w:r>
            <w:r>
              <w:t>e</w:t>
            </w:r>
          </w:p>
        </w:tc>
        <w:tc>
          <w:tcPr>
            <w:tcW w:w="7380" w:type="dxa"/>
            <w:shd w:val="clear" w:color="000000" w:fill="FFFFFF"/>
            <w:noWrap/>
          </w:tcPr>
          <w:p w14:paraId="79D2A13D" w14:textId="5132AD4A" w:rsidR="00E62CA6" w:rsidRPr="00CA1D5B" w:rsidRDefault="00F47407" w:rsidP="00FF0FC7">
            <w:pPr>
              <w:spacing w:before="0"/>
            </w:pPr>
            <w:r>
              <w:t>Megagrams of carbon dioxide equivalent</w:t>
            </w:r>
          </w:p>
        </w:tc>
      </w:tr>
    </w:tbl>
    <w:p w14:paraId="2DF1C218" w14:textId="77777777" w:rsidR="00586A00" w:rsidRDefault="00DF1D28" w:rsidP="00E14BC4">
      <w:pPr>
        <w:pStyle w:val="Heading1"/>
      </w:pPr>
      <w:bookmarkStart w:id="16" w:name="_Toc493104898"/>
      <w:r>
        <w:lastRenderedPageBreak/>
        <w:t>Introduction and Context</w:t>
      </w:r>
      <w:bookmarkEnd w:id="16"/>
    </w:p>
    <w:p w14:paraId="524A9168" w14:textId="2324CD70" w:rsidR="00EC0A94" w:rsidRDefault="00CC0F15" w:rsidP="00EC0A94">
      <w:r>
        <w:t xml:space="preserve">Greenhouse gas inventories </w:t>
      </w:r>
      <w:r w:rsidR="00042D1F">
        <w:t>allow</w:t>
      </w:r>
      <w:r>
        <w:t xml:space="preserve"> communities to account for sources and quantities of GHG emissions</w:t>
      </w:r>
      <w:r w:rsidR="00042D1F">
        <w:t xml:space="preserve"> generated by </w:t>
      </w:r>
      <w:r w:rsidR="00C8060A">
        <w:t>community activities</w:t>
      </w:r>
      <w:r>
        <w:t>.</w:t>
      </w:r>
      <w:r w:rsidR="00E90D69">
        <w:t xml:space="preserve"> </w:t>
      </w:r>
      <w:r w:rsidR="00EC0A94">
        <w:t>This report includes two distinct inventories: a “geographic-plus” inventory and a “consumption-based” inventory. The geographic-plus inventory estimates the annual GHG emissions released within community boundaries</w:t>
      </w:r>
      <w:r w:rsidR="00042D1F">
        <w:t xml:space="preserve"> and due to community activities</w:t>
      </w:r>
      <w:r w:rsidR="00C235A0">
        <w:t>,</w:t>
      </w:r>
      <w:r w:rsidR="00042D1F">
        <w:t xml:space="preserve"> such as energy consumption and waste disposal</w:t>
      </w:r>
      <w:r w:rsidR="00EC0A94">
        <w:t xml:space="preserve">. The consumption-based inventory accounts for the GHG emissions associated with the </w:t>
      </w:r>
      <w:r w:rsidR="00C55D14">
        <w:t xml:space="preserve">goods </w:t>
      </w:r>
      <w:r w:rsidR="00164E95">
        <w:t xml:space="preserve">and services </w:t>
      </w:r>
      <w:r w:rsidR="00C55D14">
        <w:t>consumed</w:t>
      </w:r>
      <w:r w:rsidR="00EC0A94">
        <w:t xml:space="preserve"> within the community. </w:t>
      </w:r>
    </w:p>
    <w:p w14:paraId="4E34FEAD" w14:textId="50ADA791" w:rsidR="006D73AC" w:rsidRDefault="006D73AC" w:rsidP="006D73AC">
      <w:pPr>
        <w:pStyle w:val="Caption"/>
      </w:pPr>
      <w:r>
        <w:t xml:space="preserve">Table </w:t>
      </w:r>
      <w:fldSimple w:instr=" SEQ Table \* ARABIC ">
        <w:r w:rsidR="00F638BC">
          <w:rPr>
            <w:noProof/>
          </w:rPr>
          <w:t>1</w:t>
        </w:r>
      </w:fldSimple>
      <w:r>
        <w:t xml:space="preserve">. </w:t>
      </w:r>
      <w:r w:rsidR="001C69BE">
        <w:t>Inventory comparison</w:t>
      </w:r>
      <w:r w:rsidR="00544DDA">
        <w:t>.</w:t>
      </w:r>
    </w:p>
    <w:tbl>
      <w:tblPr>
        <w:tblStyle w:val="TableGrid"/>
        <w:tblW w:w="5000" w:type="pct"/>
        <w:tblLook w:val="04A0" w:firstRow="1" w:lastRow="0" w:firstColumn="1" w:lastColumn="0" w:noHBand="0" w:noVBand="1"/>
      </w:tblPr>
      <w:tblGrid>
        <w:gridCol w:w="4675"/>
        <w:gridCol w:w="4675"/>
      </w:tblGrid>
      <w:tr w:rsidR="001C69BE" w14:paraId="510E8E82" w14:textId="77777777" w:rsidTr="001C69BE">
        <w:tc>
          <w:tcPr>
            <w:tcW w:w="2500" w:type="pct"/>
          </w:tcPr>
          <w:p w14:paraId="2BAEC9D9" w14:textId="77777777" w:rsidR="001C69BE" w:rsidRDefault="001C69BE" w:rsidP="00EA2B08">
            <w:pPr>
              <w:spacing w:before="0" w:after="0"/>
              <w:contextualSpacing/>
              <w:jc w:val="center"/>
            </w:pPr>
            <w:r>
              <w:t>Geographic-Plus</w:t>
            </w:r>
          </w:p>
        </w:tc>
        <w:tc>
          <w:tcPr>
            <w:tcW w:w="2500" w:type="pct"/>
          </w:tcPr>
          <w:p w14:paraId="3AF12B15" w14:textId="03023481" w:rsidR="001C69BE" w:rsidRDefault="001C69BE" w:rsidP="00EA2B08">
            <w:pPr>
              <w:spacing w:before="0" w:after="0"/>
              <w:contextualSpacing/>
              <w:jc w:val="center"/>
            </w:pPr>
            <w:r>
              <w:t>Consumption-based</w:t>
            </w:r>
          </w:p>
        </w:tc>
      </w:tr>
      <w:tr w:rsidR="001C69BE" w14:paraId="77F1E88B" w14:textId="77777777" w:rsidTr="001C69BE">
        <w:tc>
          <w:tcPr>
            <w:tcW w:w="2500" w:type="pct"/>
          </w:tcPr>
          <w:p w14:paraId="6C4F20F8" w14:textId="7524997C" w:rsidR="001C69BE" w:rsidRDefault="001C69BE" w:rsidP="00060A66">
            <w:pPr>
              <w:spacing w:before="0" w:after="0"/>
              <w:contextualSpacing/>
            </w:pPr>
            <w:r>
              <w:t>Emissions associated with all activities that occur inside the county, “plus” all electricity GHG emissions, even if the electricity is generated outside King County.</w:t>
            </w:r>
          </w:p>
        </w:tc>
        <w:tc>
          <w:tcPr>
            <w:tcW w:w="2500" w:type="pct"/>
          </w:tcPr>
          <w:p w14:paraId="3E5FB00E" w14:textId="182111E6" w:rsidR="001C69BE" w:rsidRDefault="001C69BE" w:rsidP="00164E95">
            <w:pPr>
              <w:spacing w:before="0" w:after="0"/>
              <w:contextualSpacing/>
            </w:pPr>
            <w:r>
              <w:t>Embodied emissions associated with production, transportation, use and disposal of goods, food, and services consumed in King County.</w:t>
            </w:r>
          </w:p>
        </w:tc>
      </w:tr>
    </w:tbl>
    <w:p w14:paraId="028E9212" w14:textId="3AD4637B" w:rsidR="00EA2B08" w:rsidRDefault="00F34E28" w:rsidP="00787893">
      <w:r>
        <w:t xml:space="preserve">The </w:t>
      </w:r>
      <w:r w:rsidR="00DB5562" w:rsidRPr="00787893">
        <w:rPr>
          <w:b/>
        </w:rPr>
        <w:t>g</w:t>
      </w:r>
      <w:r w:rsidRPr="00787893">
        <w:rPr>
          <w:b/>
        </w:rPr>
        <w:t>eographic-</w:t>
      </w:r>
      <w:r w:rsidR="007263BB" w:rsidRPr="00787893">
        <w:rPr>
          <w:b/>
        </w:rPr>
        <w:t>p</w:t>
      </w:r>
      <w:r w:rsidRPr="00787893">
        <w:rPr>
          <w:b/>
        </w:rPr>
        <w:t>lus inventory</w:t>
      </w:r>
      <w:r>
        <w:t xml:space="preserve"> estimates GHG emissions produced </w:t>
      </w:r>
      <w:r w:rsidR="00E90D69">
        <w:t xml:space="preserve">by </w:t>
      </w:r>
      <w:r w:rsidR="00C55D14">
        <w:t xml:space="preserve">activities of </w:t>
      </w:r>
      <w:r w:rsidR="00E90D69">
        <w:t>the King County</w:t>
      </w:r>
      <w:r>
        <w:t xml:space="preserve"> community, </w:t>
      </w:r>
      <w:r w:rsidR="00E90D69">
        <w:t xml:space="preserve">including </w:t>
      </w:r>
      <w:r w:rsidR="000F536D">
        <w:t xml:space="preserve">emissions resulting from community energy use; wastewater and solid waste processing; and </w:t>
      </w:r>
      <w:r w:rsidR="0085391A">
        <w:t xml:space="preserve">terrestrial carbon lost due to </w:t>
      </w:r>
      <w:r w:rsidR="000F536D">
        <w:t xml:space="preserve">land use </w:t>
      </w:r>
      <w:r w:rsidR="0085391A">
        <w:t>development</w:t>
      </w:r>
      <w:r>
        <w:t>.</w:t>
      </w:r>
      <w:r w:rsidR="003722AE">
        <w:t xml:space="preserve"> </w:t>
      </w:r>
      <w:r w:rsidR="00C55D14">
        <w:t xml:space="preserve">It includes both “in-boundary” emission </w:t>
      </w:r>
      <w:r w:rsidR="00C55D14" w:rsidRPr="00EA2B08">
        <w:rPr>
          <w:i/>
        </w:rPr>
        <w:t>sources</w:t>
      </w:r>
      <w:r w:rsidR="00C55D14">
        <w:t>—any physical process inside the jurisdictional boundary that releases GHG emissions—and activ</w:t>
      </w:r>
      <w:r w:rsidR="00F03537">
        <w:t>ities resulting in GHG emissions</w:t>
      </w:r>
      <w:r w:rsidR="00C55D14">
        <w:t xml:space="preserve">. </w:t>
      </w:r>
      <w:r w:rsidR="00F03537">
        <w:t>For example, it</w:t>
      </w:r>
      <w:r w:rsidR="000F536D">
        <w:t xml:space="preserve"> includes emissions associated with the </w:t>
      </w:r>
      <w:r w:rsidR="00C55D14">
        <w:t xml:space="preserve">in-county </w:t>
      </w:r>
      <w:r w:rsidR="000F536D" w:rsidRPr="00EA2B08">
        <w:rPr>
          <w:i/>
        </w:rPr>
        <w:t>production</w:t>
      </w:r>
      <w:r w:rsidR="000F536D">
        <w:t xml:space="preserve"> of food and goods, regardless of where those goods are consumed</w:t>
      </w:r>
      <w:r w:rsidR="00F03537">
        <w:t xml:space="preserve">, such as from </w:t>
      </w:r>
      <w:r w:rsidR="00303BB8">
        <w:t xml:space="preserve">a manufacturer </w:t>
      </w:r>
      <w:r w:rsidR="00E90D69">
        <w:t xml:space="preserve">located within King County </w:t>
      </w:r>
      <w:r w:rsidR="00303BB8">
        <w:t>that produces goods for export</w:t>
      </w:r>
      <w:r w:rsidR="00EA2B08">
        <w:t>.</w:t>
      </w:r>
    </w:p>
    <w:p w14:paraId="2A3BE7DA" w14:textId="0D6B22FA" w:rsidR="00F45CAC" w:rsidRDefault="00303BB8" w:rsidP="00787893">
      <w:r>
        <w:t xml:space="preserve">The </w:t>
      </w:r>
      <w:r w:rsidR="00DB5562" w:rsidRPr="00787893">
        <w:rPr>
          <w:b/>
        </w:rPr>
        <w:t>c</w:t>
      </w:r>
      <w:r w:rsidRPr="00787893">
        <w:rPr>
          <w:b/>
        </w:rPr>
        <w:t>onsumption-</w:t>
      </w:r>
      <w:r w:rsidR="007263BB" w:rsidRPr="00787893">
        <w:rPr>
          <w:b/>
        </w:rPr>
        <w:t>b</w:t>
      </w:r>
      <w:r w:rsidRPr="00787893">
        <w:rPr>
          <w:b/>
        </w:rPr>
        <w:t xml:space="preserve">ased </w:t>
      </w:r>
      <w:r w:rsidR="00DB5562" w:rsidRPr="00787893">
        <w:rPr>
          <w:b/>
        </w:rPr>
        <w:t>i</w:t>
      </w:r>
      <w:r w:rsidRPr="00787893">
        <w:rPr>
          <w:b/>
        </w:rPr>
        <w:t>nventory</w:t>
      </w:r>
      <w:r>
        <w:t xml:space="preserve"> provides an inventory of the GHG emissions associated with </w:t>
      </w:r>
      <w:r w:rsidR="00C55D14" w:rsidRPr="00EA2B08">
        <w:rPr>
          <w:i/>
        </w:rPr>
        <w:t>consumption</w:t>
      </w:r>
      <w:r w:rsidR="00C55D14">
        <w:t xml:space="preserve"> of food and</w:t>
      </w:r>
      <w:r>
        <w:t xml:space="preserve"> goods within the community, regardless of where the goods were produced.</w:t>
      </w:r>
      <w:r w:rsidR="003722AE">
        <w:t xml:space="preserve"> </w:t>
      </w:r>
      <w:r>
        <w:t xml:space="preserve">For example, the </w:t>
      </w:r>
      <w:r w:rsidR="000F536D">
        <w:t>c</w:t>
      </w:r>
      <w:r>
        <w:t>onsumption-</w:t>
      </w:r>
      <w:r w:rsidR="007263BB">
        <w:t>b</w:t>
      </w:r>
      <w:r>
        <w:t xml:space="preserve">ased </w:t>
      </w:r>
      <w:r w:rsidR="000F536D">
        <w:t>i</w:t>
      </w:r>
      <w:r>
        <w:t>nventory would not include GHG emissions associated with the production of goods from a local manufacturer that are consumed</w:t>
      </w:r>
      <w:r w:rsidR="007263BB">
        <w:t xml:space="preserve"> entirely outside the community, but would include GHG emissions associated with the production of goods manufactured in another co</w:t>
      </w:r>
      <w:r w:rsidR="00C55D14">
        <w:t>mmunity</w:t>
      </w:r>
      <w:r w:rsidR="007263BB">
        <w:t xml:space="preserve"> but consumed within </w:t>
      </w:r>
      <w:r w:rsidR="00C55D14">
        <w:t>King county</w:t>
      </w:r>
      <w:r w:rsidR="007263BB">
        <w:t>.</w:t>
      </w:r>
      <w:r w:rsidR="003722AE">
        <w:t xml:space="preserve"> </w:t>
      </w:r>
      <w:r>
        <w:t xml:space="preserve">Thus, the </w:t>
      </w:r>
      <w:r w:rsidR="000F536D">
        <w:t>c</w:t>
      </w:r>
      <w:r>
        <w:t>onsumption-</w:t>
      </w:r>
      <w:r w:rsidR="007263BB">
        <w:t>b</w:t>
      </w:r>
      <w:r>
        <w:t xml:space="preserve">ased </w:t>
      </w:r>
      <w:r w:rsidR="000F536D">
        <w:t>i</w:t>
      </w:r>
      <w:r>
        <w:t>nventory accounts for different</w:t>
      </w:r>
      <w:r w:rsidR="000F536D">
        <w:t>,</w:t>
      </w:r>
      <w:r>
        <w:t xml:space="preserve"> </w:t>
      </w:r>
      <w:r w:rsidR="000F536D">
        <w:t xml:space="preserve">but related </w:t>
      </w:r>
      <w:r>
        <w:t xml:space="preserve">sources of emissions </w:t>
      </w:r>
      <w:r w:rsidR="000F536D">
        <w:t xml:space="preserve">associated with community </w:t>
      </w:r>
      <w:r w:rsidR="00C55D14">
        <w:t>activities.</w:t>
      </w:r>
    </w:p>
    <w:p w14:paraId="573A658B" w14:textId="318FA405" w:rsidR="00F45CAC" w:rsidRDefault="00303BB8" w:rsidP="008E7FAB">
      <w:r>
        <w:t xml:space="preserve">The </w:t>
      </w:r>
      <w:r w:rsidR="00DB5562">
        <w:t>g</w:t>
      </w:r>
      <w:r w:rsidR="00F45CAC">
        <w:t>eographic-</w:t>
      </w:r>
      <w:r w:rsidR="00B26D31">
        <w:t>p</w:t>
      </w:r>
      <w:r w:rsidR="00F45CAC">
        <w:t xml:space="preserve">lus and </w:t>
      </w:r>
      <w:r w:rsidR="00DB5562">
        <w:t>c</w:t>
      </w:r>
      <w:r w:rsidR="00F45CAC">
        <w:t>onsumption-</w:t>
      </w:r>
      <w:r w:rsidR="00B26D31">
        <w:t>b</w:t>
      </w:r>
      <w:r w:rsidR="00F45CAC">
        <w:t xml:space="preserve">ased </w:t>
      </w:r>
      <w:r>
        <w:t xml:space="preserve">inventories provide insights about different GHG emission footprints </w:t>
      </w:r>
      <w:r w:rsidR="003722AE">
        <w:t>of</w:t>
      </w:r>
      <w:r>
        <w:t xml:space="preserve"> a community.</w:t>
      </w:r>
      <w:r w:rsidR="003722AE">
        <w:t xml:space="preserve"> </w:t>
      </w:r>
      <w:r>
        <w:t xml:space="preserve">For example, </w:t>
      </w:r>
      <w:r w:rsidR="006E6F87">
        <w:t xml:space="preserve">a community may consume </w:t>
      </w:r>
      <w:r w:rsidR="008E7FAB">
        <w:t>electricity generated from low-emission sources</w:t>
      </w:r>
      <w:r w:rsidR="006E6F87">
        <w:t>, but also consume</w:t>
      </w:r>
      <w:r>
        <w:t xml:space="preserve"> goods produced in a</w:t>
      </w:r>
      <w:r w:rsidR="006E6F87">
        <w:t>nother</w:t>
      </w:r>
      <w:r>
        <w:t xml:space="preserve"> community with </w:t>
      </w:r>
      <w:r w:rsidR="006E6F87">
        <w:t>high-emission energy. The two inventories can account for these differences</w:t>
      </w:r>
      <w:r>
        <w:t xml:space="preserve"> </w:t>
      </w:r>
      <w:r w:rsidR="006E6F87">
        <w:t>to paint a comprehensive picture of community emissions</w:t>
      </w:r>
      <w:r w:rsidR="00B26D31">
        <w:t>.</w:t>
      </w:r>
      <w:r w:rsidR="003722AE">
        <w:t xml:space="preserve"> </w:t>
      </w:r>
    </w:p>
    <w:p w14:paraId="24489306" w14:textId="254556A0" w:rsidR="00212B9E" w:rsidRDefault="00303BB8" w:rsidP="00212B9E">
      <w:r>
        <w:t xml:space="preserve">King County previously </w:t>
      </w:r>
      <w:r w:rsidR="006E6F87">
        <w:t>conducted geographic</w:t>
      </w:r>
      <w:r w:rsidR="006E6F87" w:rsidRPr="00F03537">
        <w:t>-plus inventories for</w:t>
      </w:r>
      <w:r w:rsidR="001713EA" w:rsidRPr="00F03537">
        <w:t xml:space="preserve"> 2003 and 2008 </w:t>
      </w:r>
      <w:r w:rsidR="006E6F87" w:rsidRPr="00F03537">
        <w:t>and a</w:t>
      </w:r>
      <w:r w:rsidR="001713EA" w:rsidRPr="00F03537">
        <w:t xml:space="preserve"> limited-scope “core” </w:t>
      </w:r>
      <w:r w:rsidR="006E6F87" w:rsidRPr="00F03537">
        <w:t xml:space="preserve">inventory in 2010 </w:t>
      </w:r>
      <w:r w:rsidR="00FC50F0" w:rsidRPr="00F03537">
        <w:t>(</w:t>
      </w:r>
      <w:r w:rsidR="004D2851">
        <w:fldChar w:fldCharType="begin"/>
      </w:r>
      <w:r w:rsidR="004D2851">
        <w:instrText xml:space="preserve"> REF _Ref483406342 \h </w:instrText>
      </w:r>
      <w:r w:rsidR="004D2851">
        <w:fldChar w:fldCharType="separate"/>
      </w:r>
      <w:r w:rsidR="004D2851">
        <w:t xml:space="preserve">Figure </w:t>
      </w:r>
      <w:r w:rsidR="004D2851">
        <w:rPr>
          <w:noProof/>
        </w:rPr>
        <w:t>4</w:t>
      </w:r>
      <w:r w:rsidR="004D2851">
        <w:fldChar w:fldCharType="end"/>
      </w:r>
      <w:r w:rsidR="00F03537" w:rsidRPr="0058602A">
        <w:t>)</w:t>
      </w:r>
      <w:r w:rsidR="003722AE" w:rsidRPr="00F03537">
        <w:t xml:space="preserve">. </w:t>
      </w:r>
      <w:r w:rsidR="00A52C5D" w:rsidRPr="00F03537">
        <w:t>This inventory report includes two major updates</w:t>
      </w:r>
      <w:r w:rsidR="00212B9E" w:rsidRPr="00F03537">
        <w:t xml:space="preserve"> 1) a 2015 </w:t>
      </w:r>
      <w:r w:rsidR="00A52C5D" w:rsidRPr="00F03537">
        <w:t>geographic-plus inventory that</w:t>
      </w:r>
      <w:r w:rsidR="00212B9E">
        <w:t xml:space="preserve"> follow</w:t>
      </w:r>
      <w:r w:rsidR="00A52C5D">
        <w:t>s</w:t>
      </w:r>
      <w:r w:rsidR="00212B9E">
        <w:t xml:space="preserve"> the U.S. Community Protocol and 2) </w:t>
      </w:r>
      <w:r w:rsidR="00A52C5D">
        <w:t>updated</w:t>
      </w:r>
      <w:r w:rsidR="00212B9E">
        <w:t xml:space="preserve"> 2003, 2008, and 2010 </w:t>
      </w:r>
      <w:r w:rsidR="00A52C5D">
        <w:t>inventories</w:t>
      </w:r>
      <w:r w:rsidR="00212B9E">
        <w:t xml:space="preserve"> </w:t>
      </w:r>
      <w:r w:rsidR="00A52C5D">
        <w:t xml:space="preserve">that are </w:t>
      </w:r>
      <w:r w:rsidR="00212B9E">
        <w:t xml:space="preserve">compliant with the </w:t>
      </w:r>
      <w:r w:rsidR="00A52C5D">
        <w:t xml:space="preserve">U.S. </w:t>
      </w:r>
      <w:r w:rsidR="00212B9E">
        <w:t>Community Protocol</w:t>
      </w:r>
      <w:r w:rsidR="00A52C5D">
        <w:t xml:space="preserve"> and comparable to the 2015 inventory.</w:t>
      </w:r>
    </w:p>
    <w:p w14:paraId="04491FF2" w14:textId="36A2A207" w:rsidR="00F03537" w:rsidRDefault="00F03537">
      <w:pPr>
        <w:pStyle w:val="Caption"/>
      </w:pPr>
      <w:bookmarkStart w:id="17" w:name="_Ref483406342"/>
      <w:r>
        <w:lastRenderedPageBreak/>
        <w:t xml:space="preserve">Figure </w:t>
      </w:r>
      <w:fldSimple w:instr=" SEQ Figure \* ARABIC ">
        <w:r w:rsidR="001C69BE">
          <w:rPr>
            <w:noProof/>
          </w:rPr>
          <w:t>5</w:t>
        </w:r>
      </w:fldSimple>
      <w:bookmarkEnd w:id="17"/>
      <w:r>
        <w:t>. King County greenhouse gas inventory timeline</w:t>
      </w:r>
      <w:r w:rsidR="00544DDA">
        <w:t>.</w:t>
      </w:r>
    </w:p>
    <w:p w14:paraId="6839F1FD" w14:textId="204B794E" w:rsidR="00081BE5" w:rsidRDefault="00081BE5" w:rsidP="008E7FAB">
      <w:r>
        <w:rPr>
          <w:noProof/>
        </w:rPr>
        <w:drawing>
          <wp:inline distT="0" distB="0" distL="0" distR="0" wp14:anchorId="75221770" wp14:editId="265DE9E3">
            <wp:extent cx="5943600" cy="1685925"/>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986D4FE" w14:textId="68DF274C" w:rsidR="009F3D16" w:rsidRDefault="009F3D16" w:rsidP="009F3D16">
      <w:pPr>
        <w:pStyle w:val="Heading2"/>
      </w:pPr>
      <w:bookmarkStart w:id="18" w:name="_Toc493104899"/>
      <w:r>
        <w:t>Roadmap of this Report</w:t>
      </w:r>
      <w:bookmarkEnd w:id="18"/>
    </w:p>
    <w:p w14:paraId="3CC36362" w14:textId="71684D29" w:rsidR="009F3D16" w:rsidRDefault="00B31C88" w:rsidP="009F3D16">
      <w:r>
        <w:t xml:space="preserve">This report is organized into </w:t>
      </w:r>
      <w:r w:rsidR="00F3669A">
        <w:t>the following three</w:t>
      </w:r>
      <w:r>
        <w:t xml:space="preserve"> sections to assess GHG emissions associated with King County:</w:t>
      </w:r>
    </w:p>
    <w:p w14:paraId="5CFCBAF8" w14:textId="09177954" w:rsidR="00B07048" w:rsidRDefault="00A52C5D" w:rsidP="00B07048">
      <w:pPr>
        <w:pStyle w:val="ListParagraph"/>
        <w:numPr>
          <w:ilvl w:val="0"/>
          <w:numId w:val="15"/>
        </w:numPr>
      </w:pPr>
      <w:r w:rsidRPr="00EA2B08">
        <w:t>A</w:t>
      </w:r>
      <w:r>
        <w:rPr>
          <w:b/>
        </w:rPr>
        <w:t xml:space="preserve"> </w:t>
      </w:r>
      <w:r w:rsidR="003722AE" w:rsidRPr="00437B25">
        <w:rPr>
          <w:b/>
        </w:rPr>
        <w:t>Geographic-Plus Inventory</w:t>
      </w:r>
      <w:r w:rsidR="00EB56F4">
        <w:t xml:space="preserve"> </w:t>
      </w:r>
      <w:r w:rsidR="003722AE">
        <w:t xml:space="preserve">describes </w:t>
      </w:r>
      <w:r w:rsidR="008F246D">
        <w:t>methodologies</w:t>
      </w:r>
      <w:r w:rsidR="009F3D16">
        <w:t xml:space="preserve"> and results f</w:t>
      </w:r>
      <w:r w:rsidR="003722AE">
        <w:t>or</w:t>
      </w:r>
      <w:r w:rsidR="009F3D16">
        <w:t xml:space="preserve"> the </w:t>
      </w:r>
      <w:r w:rsidR="003722AE">
        <w:t>g</w:t>
      </w:r>
      <w:r w:rsidR="009F3D16">
        <w:t xml:space="preserve">eographic-plus </w:t>
      </w:r>
      <w:r w:rsidR="003722AE">
        <w:t>i</w:t>
      </w:r>
      <w:r w:rsidR="009F3D16">
        <w:t>nventory</w:t>
      </w:r>
      <w:r w:rsidR="004D2851">
        <w:t>.</w:t>
      </w:r>
    </w:p>
    <w:p w14:paraId="7DAB2460" w14:textId="11F3D210" w:rsidR="009F3D16" w:rsidRDefault="00A52C5D" w:rsidP="009F3D16">
      <w:pPr>
        <w:pStyle w:val="ListParagraph"/>
        <w:numPr>
          <w:ilvl w:val="0"/>
          <w:numId w:val="15"/>
        </w:numPr>
      </w:pPr>
      <w:r w:rsidRPr="00EA2B08">
        <w:t>A</w:t>
      </w:r>
      <w:r>
        <w:rPr>
          <w:b/>
        </w:rPr>
        <w:t xml:space="preserve"> </w:t>
      </w:r>
      <w:r w:rsidR="00EB56F4" w:rsidRPr="00EB56F4">
        <w:rPr>
          <w:b/>
        </w:rPr>
        <w:t>Consumption</w:t>
      </w:r>
      <w:r w:rsidR="00EB56F4" w:rsidRPr="00437B25">
        <w:rPr>
          <w:b/>
        </w:rPr>
        <w:t>-Based Inventory</w:t>
      </w:r>
      <w:r w:rsidR="00EB56F4">
        <w:t xml:space="preserve"> section</w:t>
      </w:r>
      <w:r w:rsidR="009F3D16">
        <w:t xml:space="preserve"> presents </w:t>
      </w:r>
      <w:r w:rsidR="00EB56F4">
        <w:t xml:space="preserve">methodologies and </w:t>
      </w:r>
      <w:r w:rsidR="009F3D16">
        <w:t xml:space="preserve">results from the </w:t>
      </w:r>
      <w:r w:rsidR="003722AE">
        <w:t>c</w:t>
      </w:r>
      <w:r w:rsidR="009F3D16">
        <w:t xml:space="preserve">onsumption-based </w:t>
      </w:r>
      <w:r w:rsidR="003722AE">
        <w:t>i</w:t>
      </w:r>
      <w:r w:rsidR="009F3D16">
        <w:t>nventory</w:t>
      </w:r>
      <w:r w:rsidR="004D2851">
        <w:t>.</w:t>
      </w:r>
    </w:p>
    <w:p w14:paraId="078DE6D0" w14:textId="030EA530" w:rsidR="00F3669A" w:rsidRDefault="00A52C5D" w:rsidP="009F3D16">
      <w:pPr>
        <w:pStyle w:val="ListParagraph"/>
        <w:numPr>
          <w:ilvl w:val="0"/>
          <w:numId w:val="15"/>
        </w:numPr>
      </w:pPr>
      <w:r w:rsidRPr="00EA2B08">
        <w:t xml:space="preserve">A </w:t>
      </w:r>
      <w:r w:rsidR="00F3669A" w:rsidRPr="00F3669A">
        <w:rPr>
          <w:b/>
        </w:rPr>
        <w:t>Contribution Analysis</w:t>
      </w:r>
      <w:r w:rsidR="00F3669A">
        <w:t xml:space="preserve"> </w:t>
      </w:r>
      <w:r>
        <w:t xml:space="preserve">section </w:t>
      </w:r>
      <w:r w:rsidR="00F3669A">
        <w:t>that explores drivers of King County emission trends.</w:t>
      </w:r>
    </w:p>
    <w:p w14:paraId="2599F5AC" w14:textId="02437FCF" w:rsidR="009F3D16" w:rsidRPr="009F3D16" w:rsidRDefault="00F3669A" w:rsidP="009F3D16">
      <w:pPr>
        <w:pStyle w:val="ListParagraph"/>
        <w:numPr>
          <w:ilvl w:val="0"/>
          <w:numId w:val="15"/>
        </w:numPr>
      </w:pPr>
      <w:r>
        <w:t xml:space="preserve">The report concludes with </w:t>
      </w:r>
      <w:r w:rsidR="00EB56F4">
        <w:t xml:space="preserve">sections that summarize </w:t>
      </w:r>
      <w:r>
        <w:rPr>
          <w:b/>
        </w:rPr>
        <w:t>f</w:t>
      </w:r>
      <w:r w:rsidR="00894929">
        <w:rPr>
          <w:b/>
        </w:rPr>
        <w:t xml:space="preserve">uture considerations </w:t>
      </w:r>
      <w:r w:rsidR="00894929">
        <w:t>for</w:t>
      </w:r>
      <w:r>
        <w:t xml:space="preserve"> greenhouse gas emission quantification and reporting.</w:t>
      </w:r>
    </w:p>
    <w:p w14:paraId="78C22A14" w14:textId="121E911A" w:rsidR="00AB405E" w:rsidRDefault="00DF1D28" w:rsidP="00E14BC4">
      <w:pPr>
        <w:pStyle w:val="Heading1"/>
      </w:pPr>
      <w:bookmarkStart w:id="19" w:name="_Toc493104900"/>
      <w:r>
        <w:lastRenderedPageBreak/>
        <w:t>Geographic-</w:t>
      </w:r>
      <w:r w:rsidR="00A52C5D">
        <w:t>P</w:t>
      </w:r>
      <w:r>
        <w:t>lus Inventory</w:t>
      </w:r>
      <w:bookmarkEnd w:id="19"/>
    </w:p>
    <w:p w14:paraId="281BB8A5" w14:textId="26CB0E8B" w:rsidR="00CF01AE" w:rsidRDefault="00CF2952" w:rsidP="00CF2952">
      <w:r>
        <w:t xml:space="preserve">The </w:t>
      </w:r>
      <w:r w:rsidR="00EB56F4">
        <w:t>g</w:t>
      </w:r>
      <w:r>
        <w:t>eographic-</w:t>
      </w:r>
      <w:r w:rsidR="00B26D31">
        <w:t xml:space="preserve">plus </w:t>
      </w:r>
      <w:r w:rsidR="00EB56F4">
        <w:t>i</w:t>
      </w:r>
      <w:r>
        <w:t xml:space="preserve">nventory </w:t>
      </w:r>
      <w:r w:rsidR="00F03537">
        <w:t>quantifies</w:t>
      </w:r>
      <w:r>
        <w:t xml:space="preserve"> the release of GHG emissions from </w:t>
      </w:r>
      <w:r w:rsidR="00F03537">
        <w:t xml:space="preserve">activities within King County’s geographic boundary, including from </w:t>
      </w:r>
      <w:r>
        <w:t>transportation, buildings, industrial processes, waste, water use, and agriculture.</w:t>
      </w:r>
      <w:r w:rsidR="003722AE">
        <w:t xml:space="preserve"> </w:t>
      </w:r>
      <w:r>
        <w:t>The “</w:t>
      </w:r>
      <w:r w:rsidR="00F03537">
        <w:t>p</w:t>
      </w:r>
      <w:r>
        <w:t xml:space="preserve">lus” portion </w:t>
      </w:r>
      <w:r w:rsidR="00F03537">
        <w:t xml:space="preserve">expands this scope to include </w:t>
      </w:r>
      <w:r>
        <w:t xml:space="preserve">emissions </w:t>
      </w:r>
      <w:r w:rsidR="00F95C1F">
        <w:t xml:space="preserve">produced by electricity generation </w:t>
      </w:r>
      <w:r>
        <w:t xml:space="preserve">outside of the community but </w:t>
      </w:r>
      <w:r w:rsidR="00F95C1F">
        <w:t>consumed by</w:t>
      </w:r>
      <w:r w:rsidR="00F47407">
        <w:t xml:space="preserve"> in-county activities</w:t>
      </w:r>
      <w:r w:rsidR="00F95C1F">
        <w:t>.</w:t>
      </w:r>
      <w:r w:rsidR="003722AE">
        <w:t xml:space="preserve"> </w:t>
      </w:r>
    </w:p>
    <w:p w14:paraId="5A35C138" w14:textId="77777777" w:rsidR="007F4430" w:rsidRDefault="007F4430" w:rsidP="007F4430">
      <w:pPr>
        <w:pStyle w:val="Heading2"/>
      </w:pPr>
      <w:bookmarkStart w:id="20" w:name="_Toc493104901"/>
      <w:r>
        <w:t>Results</w:t>
      </w:r>
      <w:bookmarkEnd w:id="20"/>
    </w:p>
    <w:p w14:paraId="7419DAD5" w14:textId="4757868C" w:rsidR="00F03AF7" w:rsidRPr="00F03AF7" w:rsidRDefault="00F03AF7" w:rsidP="00F03AF7">
      <w:pPr>
        <w:pStyle w:val="Heading3"/>
      </w:pPr>
      <w:r>
        <w:t>Overview</w:t>
      </w:r>
    </w:p>
    <w:p w14:paraId="03D18ED7" w14:textId="16B58B90" w:rsidR="00F03AF7" w:rsidRDefault="00F03AF7" w:rsidP="00F03AF7">
      <w:pPr>
        <w:pStyle w:val="ListParagraph"/>
        <w:numPr>
          <w:ilvl w:val="0"/>
          <w:numId w:val="16"/>
        </w:numPr>
      </w:pPr>
      <w:r>
        <w:t xml:space="preserve">King County 2015 geographic-plus </w:t>
      </w:r>
      <w:r w:rsidRPr="00EF54B7">
        <w:t>green</w:t>
      </w:r>
      <w:r w:rsidR="00360410">
        <w:t>house gas emissions totaled 21.4</w:t>
      </w:r>
      <w:r w:rsidRPr="00EF54B7">
        <w:rPr>
          <w:b/>
        </w:rPr>
        <w:t xml:space="preserve"> </w:t>
      </w:r>
      <w:r w:rsidRPr="00EF54B7">
        <w:t>million metric tons of carbon dioxide equivalent (</w:t>
      </w:r>
      <w:r w:rsidRPr="00D52D6C">
        <w:t>MgCO</w:t>
      </w:r>
      <w:r w:rsidRPr="00D52D6C">
        <w:rPr>
          <w:vertAlign w:val="subscript"/>
        </w:rPr>
        <w:t>2</w:t>
      </w:r>
      <w:r w:rsidRPr="00D52D6C">
        <w:t>e</w:t>
      </w:r>
      <w:r w:rsidRPr="00EF54B7">
        <w:t xml:space="preserve">), </w:t>
      </w:r>
      <w:r>
        <w:t xml:space="preserve">representing an estimated </w:t>
      </w:r>
      <w:r w:rsidR="00360410">
        <w:t>4</w:t>
      </w:r>
      <w:commentRangeStart w:id="21"/>
      <w:r>
        <w:t>% increase compared to the 2007</w:t>
      </w:r>
      <w:r>
        <w:rPr>
          <w:rStyle w:val="FootnoteReference"/>
        </w:rPr>
        <w:footnoteReference w:id="3"/>
      </w:r>
      <w:r>
        <w:t xml:space="preserve"> baseline year and</w:t>
      </w:r>
      <w:r w:rsidRPr="00EF54B7">
        <w:t xml:space="preserve"> </w:t>
      </w:r>
      <w:r w:rsidR="00360410">
        <w:t>a 3</w:t>
      </w:r>
      <w:r>
        <w:t>% in</w:t>
      </w:r>
      <w:r w:rsidRPr="00EF54B7">
        <w:t>crease compared to 2008 emissions (</w:t>
      </w:r>
      <w:r>
        <w:fldChar w:fldCharType="begin"/>
      </w:r>
      <w:r>
        <w:instrText xml:space="preserve"> REF _Ref482360970 \h </w:instrText>
      </w:r>
      <w:r>
        <w:fldChar w:fldCharType="separate"/>
      </w:r>
      <w:r>
        <w:t xml:space="preserve">Figure </w:t>
      </w:r>
      <w:r>
        <w:rPr>
          <w:noProof/>
        </w:rPr>
        <w:t>1</w:t>
      </w:r>
      <w:r>
        <w:fldChar w:fldCharType="end"/>
      </w:r>
      <w:r>
        <w:t xml:space="preserve"> and </w:t>
      </w:r>
      <w:r>
        <w:fldChar w:fldCharType="begin"/>
      </w:r>
      <w:r>
        <w:instrText xml:space="preserve"> REF _Ref492717338 \h </w:instrText>
      </w:r>
      <w:r>
        <w:fldChar w:fldCharType="separate"/>
      </w:r>
      <w:r>
        <w:t xml:space="preserve">Figure </w:t>
      </w:r>
      <w:r>
        <w:rPr>
          <w:noProof/>
        </w:rPr>
        <w:t>2</w:t>
      </w:r>
      <w:r>
        <w:fldChar w:fldCharType="end"/>
      </w:r>
      <w:r w:rsidRPr="00EF54B7">
        <w:t xml:space="preserve">). </w:t>
      </w:r>
      <w:commentRangeEnd w:id="21"/>
      <w:r>
        <w:rPr>
          <w:rStyle w:val="CommentReference"/>
        </w:rPr>
        <w:commentReference w:id="21"/>
      </w:r>
      <w:r>
        <w:t xml:space="preserve"> </w:t>
      </w:r>
    </w:p>
    <w:p w14:paraId="196189C0" w14:textId="7DBF6FFB" w:rsidR="00F03AF7" w:rsidRDefault="00F03AF7" w:rsidP="00F03AF7">
      <w:pPr>
        <w:pStyle w:val="ListParagraph"/>
        <w:numPr>
          <w:ilvl w:val="0"/>
          <w:numId w:val="16"/>
        </w:numPr>
      </w:pPr>
      <w:r>
        <w:t xml:space="preserve">Per person or per-capita emissions declined </w:t>
      </w:r>
      <w:r w:rsidRPr="00D96174">
        <w:t>by</w:t>
      </w:r>
      <w:r>
        <w:t xml:space="preserve"> an </w:t>
      </w:r>
      <w:r w:rsidRPr="0049799A">
        <w:t xml:space="preserve">estimated </w:t>
      </w:r>
      <w:r w:rsidR="00C71E64">
        <w:t>6.6</w:t>
      </w:r>
      <w:r w:rsidRPr="0049799A">
        <w:t>% from</w:t>
      </w:r>
      <w:r>
        <w:t xml:space="preserve"> 2007 compared to 2015</w:t>
      </w:r>
      <w:r w:rsidRPr="00D96174">
        <w:t xml:space="preserve"> </w:t>
      </w:r>
      <w:r>
        <w:t>and 6</w:t>
      </w:r>
      <w:r w:rsidR="00C71E64">
        <w:t>.1</w:t>
      </w:r>
      <w:r w:rsidRPr="00D96174">
        <w:t>%</w:t>
      </w:r>
      <w:r w:rsidRPr="00EF54B7">
        <w:t xml:space="preserve"> from 2008 to 2015. </w:t>
      </w:r>
      <w:r>
        <w:t>When including both core and supplementary emissions sectors, the</w:t>
      </w:r>
      <w:r w:rsidRPr="00EF54B7">
        <w:t xml:space="preserve"> average King County resid</w:t>
      </w:r>
      <w:r>
        <w:t xml:space="preserve">ent </w:t>
      </w:r>
      <w:r w:rsidRPr="00D96174">
        <w:t>emitted</w:t>
      </w:r>
      <w:r w:rsidRPr="000E6A8B">
        <w:t xml:space="preserve"> </w:t>
      </w:r>
      <w:r w:rsidR="00C71E64">
        <w:t>11.2</w:t>
      </w:r>
      <w:r w:rsidRPr="00E61584">
        <w:t xml:space="preserve"> MgCO</w:t>
      </w:r>
      <w:r w:rsidRPr="00E61584">
        <w:rPr>
          <w:vertAlign w:val="subscript"/>
        </w:rPr>
        <w:t>2</w:t>
      </w:r>
      <w:r w:rsidRPr="00E61584">
        <w:t xml:space="preserve">e in 2007, </w:t>
      </w:r>
      <w:r w:rsidR="00C71E64">
        <w:t>11.1</w:t>
      </w:r>
      <w:r w:rsidRPr="00E61584">
        <w:t xml:space="preserve"> MgCO</w:t>
      </w:r>
      <w:r w:rsidRPr="00E61584">
        <w:rPr>
          <w:vertAlign w:val="subscript"/>
        </w:rPr>
        <w:t>2</w:t>
      </w:r>
      <w:r w:rsidR="00C71E64">
        <w:t>e in 2008, and 10.4</w:t>
      </w:r>
      <w:r w:rsidRPr="00E61584">
        <w:t xml:space="preserve"> MgCO</w:t>
      </w:r>
      <w:r w:rsidRPr="00E61584">
        <w:rPr>
          <w:vertAlign w:val="subscript"/>
        </w:rPr>
        <w:t>2</w:t>
      </w:r>
      <w:r w:rsidRPr="00E61584">
        <w:t>e in 2015. Total population in King County increased 11% from 1.8 million residents in 2007 to 2.1</w:t>
      </w:r>
      <w:r>
        <w:t xml:space="preserve"> million residents in 2015 (</w:t>
      </w:r>
      <w:r>
        <w:fldChar w:fldCharType="begin"/>
      </w:r>
      <w:r>
        <w:instrText xml:space="preserve"> REF _Ref492717423 \h </w:instrText>
      </w:r>
      <w:r>
        <w:fldChar w:fldCharType="separate"/>
      </w:r>
      <w:r>
        <w:t xml:space="preserve">Figure </w:t>
      </w:r>
      <w:r>
        <w:rPr>
          <w:noProof/>
        </w:rPr>
        <w:t>4</w:t>
      </w:r>
      <w:r>
        <w:fldChar w:fldCharType="end"/>
      </w:r>
      <w:r>
        <w:t>).</w:t>
      </w:r>
    </w:p>
    <w:p w14:paraId="4DEE54B4" w14:textId="77777777" w:rsidR="00F03AF7" w:rsidRPr="00E61584" w:rsidRDefault="00F03AF7" w:rsidP="00F03AF7">
      <w:pPr>
        <w:pStyle w:val="ListParagraph"/>
        <w:numPr>
          <w:ilvl w:val="0"/>
          <w:numId w:val="16"/>
        </w:numPr>
      </w:pPr>
      <w:r w:rsidRPr="00E61584">
        <w:t>“Core emissions” from residential and commercial energy use and from on-road transportation sources stabilized between 2010 and 2015 (</w:t>
      </w:r>
      <w:r>
        <w:fldChar w:fldCharType="begin"/>
      </w:r>
      <w:r>
        <w:instrText xml:space="preserve"> REF _Ref492717355 \h </w:instrText>
      </w:r>
      <w:r>
        <w:fldChar w:fldCharType="separate"/>
      </w:r>
      <w:r>
        <w:t xml:space="preserve">Figure </w:t>
      </w:r>
      <w:r>
        <w:rPr>
          <w:noProof/>
        </w:rPr>
        <w:t>3</w:t>
      </w:r>
      <w:r>
        <w:fldChar w:fldCharType="end"/>
      </w:r>
      <w:r w:rsidRPr="00E61584">
        <w:t>).</w:t>
      </w:r>
    </w:p>
    <w:p w14:paraId="4B3461F2" w14:textId="5A962EDD" w:rsidR="00F03AF7" w:rsidRPr="00D96174" w:rsidRDefault="00F03AF7" w:rsidP="00F03AF7">
      <w:pPr>
        <w:pStyle w:val="ListParagraph"/>
        <w:numPr>
          <w:ilvl w:val="0"/>
          <w:numId w:val="16"/>
        </w:numPr>
      </w:pPr>
      <w:r w:rsidRPr="00EF54B7">
        <w:t xml:space="preserve">In 2015, </w:t>
      </w:r>
      <w:r w:rsidRPr="00D96174">
        <w:t xml:space="preserve">King County’s largest sources of </w:t>
      </w:r>
      <w:r>
        <w:t>geographic-plus based</w:t>
      </w:r>
      <w:r w:rsidRPr="00D96174">
        <w:t xml:space="preserve"> greenhouse gas emissions are the built environment (</w:t>
      </w:r>
      <w:r>
        <w:t>6</w:t>
      </w:r>
      <w:r w:rsidR="00C71E64">
        <w:t>3%) and transportation (35</w:t>
      </w:r>
      <w:r w:rsidRPr="00D96174">
        <w:t>%).</w:t>
      </w:r>
    </w:p>
    <w:p w14:paraId="339E519D" w14:textId="77777777" w:rsidR="00F03AF7" w:rsidRDefault="00F03AF7" w:rsidP="00F03AF7">
      <w:pPr>
        <w:pStyle w:val="ListParagraph"/>
        <w:numPr>
          <w:ilvl w:val="0"/>
          <w:numId w:val="16"/>
        </w:numPr>
      </w:pPr>
      <w:r>
        <w:t>The largest increases in emissions from 2008 to 2015 were in the residential and commercial electricity sectors (0.16 and 0.27 million MgCO</w:t>
      </w:r>
      <w:r w:rsidRPr="00CC542E">
        <w:rPr>
          <w:vertAlign w:val="subscript"/>
        </w:rPr>
        <w:t>2</w:t>
      </w:r>
      <w:r>
        <w:t>e increase, respectively, equivalent to 7% and 10% increases). The largest decreases were due to changes in residential natural gas and on-road passenger vehicle emissions (0.26 and 0.11 million MgCO</w:t>
      </w:r>
      <w:r w:rsidRPr="00CC542E">
        <w:rPr>
          <w:vertAlign w:val="subscript"/>
        </w:rPr>
        <w:t>2</w:t>
      </w:r>
      <w:r>
        <w:t xml:space="preserve">e decrease, </w:t>
      </w:r>
      <w:commentRangeStart w:id="22"/>
      <w:r>
        <w:t>respectively</w:t>
      </w:r>
      <w:commentRangeEnd w:id="22"/>
      <w:r>
        <w:rPr>
          <w:rStyle w:val="CommentReference"/>
        </w:rPr>
        <w:commentReference w:id="22"/>
      </w:r>
      <w:r>
        <w:t>, equivalent to 14% and 2% decreases).</w:t>
      </w:r>
    </w:p>
    <w:p w14:paraId="5BADBF90" w14:textId="77777777" w:rsidR="00F03AF7" w:rsidRPr="00D96174" w:rsidRDefault="00F03AF7" w:rsidP="00F03AF7">
      <w:pPr>
        <w:pStyle w:val="ListParagraph"/>
        <w:numPr>
          <w:ilvl w:val="0"/>
          <w:numId w:val="16"/>
        </w:numPr>
      </w:pPr>
      <w:r w:rsidRPr="00D96174">
        <w:t xml:space="preserve">Emissions from solid waste (1%), wastewater (&lt;1%), and agriculture (1%) </w:t>
      </w:r>
      <w:r>
        <w:t>are</w:t>
      </w:r>
      <w:r w:rsidRPr="00D96174">
        <w:t xml:space="preserve"> </w:t>
      </w:r>
      <w:r>
        <w:t>a small part of overall GHG emissions</w:t>
      </w:r>
      <w:r w:rsidRPr="00D96174">
        <w:t xml:space="preserve"> in King County.</w:t>
      </w:r>
    </w:p>
    <w:p w14:paraId="339AD4C0" w14:textId="7508D02C" w:rsidR="00F03AF7" w:rsidRDefault="00F03AF7" w:rsidP="00F03AF7">
      <w:pPr>
        <w:pStyle w:val="Caption"/>
      </w:pPr>
      <w:r>
        <w:lastRenderedPageBreak/>
        <w:t xml:space="preserve">Figure </w:t>
      </w:r>
      <w:fldSimple w:instr=" SEQ Figure \* ARABIC ">
        <w:r>
          <w:rPr>
            <w:noProof/>
          </w:rPr>
          <w:t>1</w:t>
        </w:r>
      </w:fldSimple>
      <w:r>
        <w:t>. Sources of geographic-plus based GHG emissions for King County in 2015, excluding su</w:t>
      </w:r>
      <w:r w:rsidR="00D1312D">
        <w:t>pplemental sources (total = 21.4</w:t>
      </w:r>
      <w:r>
        <w:t xml:space="preserve"> million </w:t>
      </w:r>
      <w:commentRangeStart w:id="23"/>
      <w:r w:rsidRPr="00D52D6C">
        <w:t>MgCO</w:t>
      </w:r>
      <w:r w:rsidRPr="00D52D6C">
        <w:rPr>
          <w:vertAlign w:val="subscript"/>
        </w:rPr>
        <w:t>2</w:t>
      </w:r>
      <w:r w:rsidRPr="00D52D6C">
        <w:t>e</w:t>
      </w:r>
      <w:commentRangeEnd w:id="23"/>
      <w:r>
        <w:rPr>
          <w:rStyle w:val="CommentReference"/>
          <w:b w:val="0"/>
          <w:iCs w:val="0"/>
        </w:rPr>
        <w:commentReference w:id="23"/>
      </w:r>
      <w:r>
        <w:t>).</w:t>
      </w:r>
    </w:p>
    <w:p w14:paraId="55E090A2" w14:textId="1F7C6B7F" w:rsidR="00F03AF7" w:rsidRDefault="00D1312D" w:rsidP="0047082C">
      <w:pPr>
        <w:spacing w:before="0" w:after="160"/>
        <w:jc w:val="center"/>
      </w:pPr>
      <w:r>
        <w:rPr>
          <w:noProof/>
        </w:rPr>
        <w:drawing>
          <wp:inline distT="0" distB="0" distL="0" distR="0" wp14:anchorId="0334B6A4" wp14:editId="184F5A58">
            <wp:extent cx="4566285" cy="3043555"/>
            <wp:effectExtent l="0" t="0" r="571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8233"/>
                    <a:stretch/>
                  </pic:blipFill>
                  <pic:spPr bwMode="auto">
                    <a:xfrm>
                      <a:off x="0" y="0"/>
                      <a:ext cx="4566285" cy="3043555"/>
                    </a:xfrm>
                    <a:prstGeom prst="rect">
                      <a:avLst/>
                    </a:prstGeom>
                    <a:noFill/>
                    <a:ln>
                      <a:noFill/>
                    </a:ln>
                    <a:extLst>
                      <a:ext uri="{53640926-AAD7-44D8-BBD7-CCE9431645EC}">
                        <a14:shadowObscured xmlns:a14="http://schemas.microsoft.com/office/drawing/2010/main"/>
                      </a:ext>
                    </a:extLst>
                  </pic:spPr>
                </pic:pic>
              </a:graphicData>
            </a:graphic>
          </wp:inline>
        </w:drawing>
      </w:r>
    </w:p>
    <w:p w14:paraId="23196A40" w14:textId="77777777" w:rsidR="00F03AF7" w:rsidRDefault="00F03AF7" w:rsidP="00F03AF7">
      <w:pPr>
        <w:pStyle w:val="Caption"/>
      </w:pPr>
      <w:r>
        <w:t xml:space="preserve">Figure </w:t>
      </w:r>
      <w:fldSimple w:instr=" SEQ Figure \* ARABIC ">
        <w:r>
          <w:rPr>
            <w:noProof/>
          </w:rPr>
          <w:t>2</w:t>
        </w:r>
      </w:fldSimple>
      <w:r>
        <w:t xml:space="preserve">. Sources of residential and commercial built environment GHG emissions for King County in 2015 (total = 9.7 million </w:t>
      </w:r>
      <w:commentRangeStart w:id="24"/>
      <w:r w:rsidRPr="00D52D6C">
        <w:t>MgCO</w:t>
      </w:r>
      <w:r w:rsidRPr="00D52D6C">
        <w:rPr>
          <w:vertAlign w:val="subscript"/>
        </w:rPr>
        <w:t>2</w:t>
      </w:r>
      <w:r w:rsidRPr="00D52D6C">
        <w:t>e</w:t>
      </w:r>
      <w:commentRangeEnd w:id="24"/>
      <w:r>
        <w:rPr>
          <w:rStyle w:val="CommentReference"/>
          <w:b w:val="0"/>
          <w:iCs w:val="0"/>
        </w:rPr>
        <w:commentReference w:id="24"/>
      </w:r>
      <w:r>
        <w:t>).</w:t>
      </w:r>
    </w:p>
    <w:p w14:paraId="210DD319" w14:textId="77777777" w:rsidR="00F03AF7" w:rsidRDefault="00F03AF7" w:rsidP="0047082C">
      <w:pPr>
        <w:spacing w:before="0" w:after="160"/>
        <w:jc w:val="center"/>
      </w:pPr>
      <w:r>
        <w:rPr>
          <w:noProof/>
        </w:rPr>
        <w:drawing>
          <wp:inline distT="0" distB="0" distL="0" distR="0" wp14:anchorId="68C01954" wp14:editId="2C9899BD">
            <wp:extent cx="5314384" cy="3389587"/>
            <wp:effectExtent l="0" t="0" r="63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7851"/>
                    <a:stretch/>
                  </pic:blipFill>
                  <pic:spPr bwMode="auto">
                    <a:xfrm>
                      <a:off x="0" y="0"/>
                      <a:ext cx="5319676" cy="3392963"/>
                    </a:xfrm>
                    <a:prstGeom prst="rect">
                      <a:avLst/>
                    </a:prstGeom>
                    <a:noFill/>
                    <a:ln>
                      <a:noFill/>
                    </a:ln>
                    <a:extLst>
                      <a:ext uri="{53640926-AAD7-44D8-BBD7-CCE9431645EC}">
                        <a14:shadowObscured xmlns:a14="http://schemas.microsoft.com/office/drawing/2010/main"/>
                      </a:ext>
                    </a:extLst>
                  </pic:spPr>
                </pic:pic>
              </a:graphicData>
            </a:graphic>
          </wp:inline>
        </w:drawing>
      </w:r>
    </w:p>
    <w:p w14:paraId="2A682240" w14:textId="77777777" w:rsidR="00F03AF7" w:rsidRDefault="00F03AF7" w:rsidP="00F03AF7">
      <w:pPr>
        <w:pStyle w:val="Caption"/>
      </w:pPr>
      <w:r>
        <w:lastRenderedPageBreak/>
        <w:t xml:space="preserve">Figure </w:t>
      </w:r>
      <w:fldSimple w:instr=" SEQ Figure \* ARABIC ">
        <w:r>
          <w:rPr>
            <w:noProof/>
          </w:rPr>
          <w:t>3</w:t>
        </w:r>
      </w:fldSimple>
      <w:r>
        <w:t>. Core GHG emissions for King County over time.</w:t>
      </w:r>
    </w:p>
    <w:p w14:paraId="77F6C59E" w14:textId="77777777" w:rsidR="00F03AF7" w:rsidRDefault="00F03AF7" w:rsidP="0047082C">
      <w:pPr>
        <w:spacing w:before="0" w:after="160"/>
        <w:jc w:val="center"/>
      </w:pPr>
      <w:r>
        <w:rPr>
          <w:noProof/>
        </w:rPr>
        <w:drawing>
          <wp:inline distT="0" distB="0" distL="0" distR="0" wp14:anchorId="754EA28D" wp14:editId="1105C314">
            <wp:extent cx="4400404" cy="2320724"/>
            <wp:effectExtent l="0" t="0" r="63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12183"/>
                    <a:stretch/>
                  </pic:blipFill>
                  <pic:spPr bwMode="auto">
                    <a:xfrm>
                      <a:off x="0" y="0"/>
                      <a:ext cx="4425242" cy="2333823"/>
                    </a:xfrm>
                    <a:prstGeom prst="rect">
                      <a:avLst/>
                    </a:prstGeom>
                    <a:noFill/>
                    <a:ln>
                      <a:noFill/>
                    </a:ln>
                    <a:extLst>
                      <a:ext uri="{53640926-AAD7-44D8-BBD7-CCE9431645EC}">
                        <a14:shadowObscured xmlns:a14="http://schemas.microsoft.com/office/drawing/2010/main"/>
                      </a:ext>
                    </a:extLst>
                  </pic:spPr>
                </pic:pic>
              </a:graphicData>
            </a:graphic>
          </wp:inline>
        </w:drawing>
      </w:r>
    </w:p>
    <w:p w14:paraId="51082C78" w14:textId="77777777" w:rsidR="00F03AF7" w:rsidRDefault="00F03AF7" w:rsidP="00F03AF7">
      <w:pPr>
        <w:pStyle w:val="Caption"/>
      </w:pPr>
      <w:r>
        <w:t xml:space="preserve">Figure </w:t>
      </w:r>
      <w:fldSimple w:instr=" SEQ Figure \* ARABIC ">
        <w:r>
          <w:rPr>
            <w:noProof/>
          </w:rPr>
          <w:t>4</w:t>
        </w:r>
      </w:fldSimple>
      <w:r>
        <w:t>. Geographic-plus based GHG emissions by sector for King County.</w:t>
      </w:r>
    </w:p>
    <w:p w14:paraId="419ECAFD" w14:textId="040F50B0" w:rsidR="00F03AF7" w:rsidRDefault="00D1312D" w:rsidP="0047082C">
      <w:pPr>
        <w:jc w:val="center"/>
      </w:pPr>
      <w:r>
        <w:rPr>
          <w:noProof/>
        </w:rPr>
        <w:drawing>
          <wp:inline distT="0" distB="0" distL="0" distR="0" wp14:anchorId="5A972237" wp14:editId="1D37D187">
            <wp:extent cx="5943600" cy="35130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13006"/>
                    </a:xfrm>
                    <a:prstGeom prst="rect">
                      <a:avLst/>
                    </a:prstGeom>
                    <a:noFill/>
                  </pic:spPr>
                </pic:pic>
              </a:graphicData>
            </a:graphic>
          </wp:inline>
        </w:drawing>
      </w:r>
    </w:p>
    <w:p w14:paraId="7F4C1742" w14:textId="54821C75" w:rsidR="007F4430" w:rsidRPr="00C75476" w:rsidRDefault="007F4430" w:rsidP="00B23061">
      <w:pPr>
        <w:pStyle w:val="Caption"/>
      </w:pPr>
      <w:r>
        <w:lastRenderedPageBreak/>
        <w:t xml:space="preserve">Table </w:t>
      </w:r>
      <w:fldSimple w:instr=" SEQ Table \* ARABIC ">
        <w:r w:rsidR="00F638BC">
          <w:rPr>
            <w:noProof/>
          </w:rPr>
          <w:t>2</w:t>
        </w:r>
      </w:fldSimple>
      <w:r>
        <w:t xml:space="preserve">. King County GHG emissions by </w:t>
      </w:r>
      <w:commentRangeStart w:id="25"/>
      <w:commentRangeStart w:id="26"/>
      <w:r>
        <w:t>sector</w:t>
      </w:r>
      <w:commentRangeEnd w:id="25"/>
      <w:commentRangeEnd w:id="26"/>
      <w:r>
        <w:rPr>
          <w:rStyle w:val="CommentReference"/>
          <w:b w:val="0"/>
          <w:iCs w:val="0"/>
        </w:rPr>
        <w:commentReference w:id="25"/>
      </w:r>
      <w:r w:rsidR="00F03AF7">
        <w:rPr>
          <w:rStyle w:val="CommentReference"/>
          <w:b w:val="0"/>
          <w:iCs w:val="0"/>
        </w:rPr>
        <w:commentReference w:id="26"/>
      </w:r>
      <w:r>
        <w:t xml:space="preserve"> (</w:t>
      </w:r>
      <w:commentRangeStart w:id="27"/>
      <w:r>
        <w:t>M</w:t>
      </w:r>
      <w:r w:rsidRPr="00D52D6C">
        <w:t>gCO</w:t>
      </w:r>
      <w:r w:rsidRPr="00D52D6C">
        <w:rPr>
          <w:vertAlign w:val="subscript"/>
        </w:rPr>
        <w:t>2</w:t>
      </w:r>
      <w:r w:rsidRPr="00D52D6C">
        <w:t>e</w:t>
      </w:r>
      <w:commentRangeEnd w:id="27"/>
      <w:r>
        <w:rPr>
          <w:rStyle w:val="CommentReference"/>
          <w:b w:val="0"/>
          <w:iCs w:val="0"/>
        </w:rPr>
        <w:commentReference w:id="27"/>
      </w:r>
      <w:r>
        <w:t>)</w:t>
      </w:r>
      <w:r>
        <w:rPr>
          <w:b w:val="0"/>
          <w:iCs w:val="0"/>
        </w:rPr>
        <w:t>.</w:t>
      </w:r>
      <w:r w:rsidR="00247BF7" w:rsidRPr="00247BF7">
        <w:t xml:space="preserve"> </w:t>
      </w:r>
    </w:p>
    <w:p w14:paraId="217693D8" w14:textId="33DA9D06" w:rsidR="00B23061" w:rsidRDefault="00B23061">
      <w:pPr>
        <w:spacing w:before="0" w:after="160"/>
        <w:rPr>
          <w:b/>
          <w:iCs/>
          <w:sz w:val="18"/>
          <w:szCs w:val="18"/>
        </w:rPr>
      </w:pPr>
      <w:r w:rsidRPr="00B23061">
        <w:rPr>
          <w:noProof/>
        </w:rPr>
        <w:drawing>
          <wp:inline distT="0" distB="0" distL="0" distR="0" wp14:anchorId="09FF8921" wp14:editId="7BA3460A">
            <wp:extent cx="5943600" cy="68776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877679"/>
                    </a:xfrm>
                    <a:prstGeom prst="rect">
                      <a:avLst/>
                    </a:prstGeom>
                    <a:noFill/>
                    <a:ln>
                      <a:noFill/>
                    </a:ln>
                  </pic:spPr>
                </pic:pic>
              </a:graphicData>
            </a:graphic>
          </wp:inline>
        </w:drawing>
      </w:r>
      <w:r>
        <w:br w:type="page"/>
      </w:r>
    </w:p>
    <w:p w14:paraId="4B0F6898" w14:textId="1EB01523" w:rsidR="00F638BC" w:rsidRDefault="00F638BC" w:rsidP="00F638BC">
      <w:pPr>
        <w:pStyle w:val="Caption"/>
      </w:pPr>
      <w:r>
        <w:lastRenderedPageBreak/>
        <w:t xml:space="preserve">Table </w:t>
      </w:r>
      <w:fldSimple w:instr=" SEQ Table \* ARABIC ">
        <w:r>
          <w:rPr>
            <w:noProof/>
          </w:rPr>
          <w:t>3</w:t>
        </w:r>
      </w:fldSimple>
      <w:r>
        <w:t>. King County GHG emissions by sector (percentage of core and expanded production MgCO</w:t>
      </w:r>
      <w:r w:rsidRPr="00F638BC">
        <w:rPr>
          <w:vertAlign w:val="subscript"/>
        </w:rPr>
        <w:t>2</w:t>
      </w:r>
      <w:r>
        <w:t>e).</w:t>
      </w:r>
    </w:p>
    <w:tbl>
      <w:tblPr>
        <w:tblW w:w="5000" w:type="pct"/>
        <w:tblLook w:val="04A0" w:firstRow="1" w:lastRow="0" w:firstColumn="1" w:lastColumn="0" w:noHBand="0" w:noVBand="1"/>
      </w:tblPr>
      <w:tblGrid>
        <w:gridCol w:w="437"/>
        <w:gridCol w:w="3687"/>
        <w:gridCol w:w="2773"/>
        <w:gridCol w:w="821"/>
        <w:gridCol w:w="821"/>
        <w:gridCol w:w="821"/>
      </w:tblGrid>
      <w:tr w:rsidR="00F638BC" w:rsidRPr="00F638BC" w14:paraId="04E41C4A" w14:textId="77777777" w:rsidTr="00F638BC">
        <w:trPr>
          <w:trHeight w:val="20"/>
        </w:trPr>
        <w:tc>
          <w:tcPr>
            <w:tcW w:w="3634" w:type="pct"/>
            <w:gridSpan w:val="3"/>
            <w:tcBorders>
              <w:top w:val="single" w:sz="4" w:space="0" w:color="auto"/>
              <w:left w:val="nil"/>
              <w:bottom w:val="single" w:sz="4" w:space="0" w:color="auto"/>
              <w:right w:val="nil"/>
            </w:tcBorders>
            <w:shd w:val="clear" w:color="000000" w:fill="FFFFFF"/>
            <w:noWrap/>
            <w:hideMark/>
          </w:tcPr>
          <w:p w14:paraId="515F979B" w14:textId="77777777" w:rsidR="00F638BC" w:rsidRPr="00F638BC" w:rsidRDefault="00F638BC" w:rsidP="00F638BC">
            <w:pPr>
              <w:spacing w:before="0" w:after="0" w:line="240" w:lineRule="auto"/>
              <w:contextualSpacing/>
              <w:rPr>
                <w:rFonts w:ascii="Calibri" w:eastAsia="Times New Roman" w:hAnsi="Calibri" w:cs="Calibri"/>
                <w:b/>
                <w:bCs/>
                <w:sz w:val="18"/>
                <w:szCs w:val="18"/>
              </w:rPr>
            </w:pPr>
            <w:r w:rsidRPr="00F638BC">
              <w:rPr>
                <w:rFonts w:ascii="Calibri" w:eastAsia="Times New Roman" w:hAnsi="Calibri" w:cs="Calibri"/>
                <w:b/>
                <w:bCs/>
                <w:sz w:val="18"/>
                <w:szCs w:val="18"/>
              </w:rPr>
              <w:t>GHG Emissions by Sector (% of Total)</w:t>
            </w:r>
          </w:p>
        </w:tc>
        <w:tc>
          <w:tcPr>
            <w:tcW w:w="439" w:type="pct"/>
            <w:tcBorders>
              <w:top w:val="single" w:sz="4" w:space="0" w:color="auto"/>
              <w:left w:val="nil"/>
              <w:bottom w:val="single" w:sz="4" w:space="0" w:color="auto"/>
              <w:right w:val="nil"/>
            </w:tcBorders>
            <w:shd w:val="clear" w:color="000000" w:fill="FFFFFF"/>
            <w:noWrap/>
            <w:hideMark/>
          </w:tcPr>
          <w:p w14:paraId="5B47F0F2" w14:textId="77777777" w:rsidR="00F638BC" w:rsidRPr="00F638BC" w:rsidRDefault="00F638BC" w:rsidP="00F638BC">
            <w:pPr>
              <w:spacing w:before="0" w:after="0" w:line="240" w:lineRule="auto"/>
              <w:contextualSpacing/>
              <w:jc w:val="center"/>
              <w:rPr>
                <w:rFonts w:ascii="Calibri" w:eastAsia="Times New Roman" w:hAnsi="Calibri" w:cs="Calibri"/>
                <w:b/>
                <w:bCs/>
                <w:sz w:val="18"/>
                <w:szCs w:val="18"/>
              </w:rPr>
            </w:pPr>
            <w:r w:rsidRPr="00F638BC">
              <w:rPr>
                <w:rFonts w:ascii="Calibri" w:eastAsia="Times New Roman" w:hAnsi="Calibri" w:cs="Calibri"/>
                <w:b/>
                <w:bCs/>
                <w:sz w:val="18"/>
                <w:szCs w:val="18"/>
              </w:rPr>
              <w:t>2003</w:t>
            </w:r>
          </w:p>
        </w:tc>
        <w:tc>
          <w:tcPr>
            <w:tcW w:w="449" w:type="pct"/>
            <w:tcBorders>
              <w:top w:val="single" w:sz="4" w:space="0" w:color="auto"/>
              <w:left w:val="nil"/>
              <w:bottom w:val="single" w:sz="4" w:space="0" w:color="auto"/>
              <w:right w:val="nil"/>
            </w:tcBorders>
            <w:shd w:val="clear" w:color="000000" w:fill="FFFFFF"/>
            <w:noWrap/>
            <w:hideMark/>
          </w:tcPr>
          <w:p w14:paraId="71F3535F" w14:textId="77777777" w:rsidR="00F638BC" w:rsidRPr="00F638BC" w:rsidRDefault="00F638BC" w:rsidP="00F638BC">
            <w:pPr>
              <w:spacing w:before="0" w:after="0" w:line="240" w:lineRule="auto"/>
              <w:contextualSpacing/>
              <w:jc w:val="center"/>
              <w:rPr>
                <w:rFonts w:ascii="Calibri" w:eastAsia="Times New Roman" w:hAnsi="Calibri" w:cs="Calibri"/>
                <w:b/>
                <w:bCs/>
                <w:sz w:val="18"/>
                <w:szCs w:val="18"/>
              </w:rPr>
            </w:pPr>
            <w:r w:rsidRPr="00F638BC">
              <w:rPr>
                <w:rFonts w:ascii="Calibri" w:eastAsia="Times New Roman" w:hAnsi="Calibri" w:cs="Calibri"/>
                <w:b/>
                <w:bCs/>
                <w:sz w:val="18"/>
                <w:szCs w:val="18"/>
              </w:rPr>
              <w:t>2008</w:t>
            </w:r>
          </w:p>
        </w:tc>
        <w:tc>
          <w:tcPr>
            <w:tcW w:w="478" w:type="pct"/>
            <w:tcBorders>
              <w:top w:val="single" w:sz="4" w:space="0" w:color="auto"/>
              <w:left w:val="nil"/>
              <w:bottom w:val="single" w:sz="4" w:space="0" w:color="auto"/>
              <w:right w:val="nil"/>
            </w:tcBorders>
            <w:shd w:val="clear" w:color="000000" w:fill="FFFFFF"/>
            <w:noWrap/>
            <w:hideMark/>
          </w:tcPr>
          <w:p w14:paraId="1ED24D17" w14:textId="77777777" w:rsidR="00F638BC" w:rsidRPr="00F638BC" w:rsidRDefault="00F638BC" w:rsidP="00F638BC">
            <w:pPr>
              <w:spacing w:before="0" w:after="0" w:line="240" w:lineRule="auto"/>
              <w:contextualSpacing/>
              <w:jc w:val="center"/>
              <w:rPr>
                <w:rFonts w:ascii="Calibri" w:eastAsia="Times New Roman" w:hAnsi="Calibri" w:cs="Calibri"/>
                <w:b/>
                <w:bCs/>
                <w:sz w:val="18"/>
                <w:szCs w:val="18"/>
              </w:rPr>
            </w:pPr>
            <w:r w:rsidRPr="00F638BC">
              <w:rPr>
                <w:rFonts w:ascii="Calibri" w:eastAsia="Times New Roman" w:hAnsi="Calibri" w:cs="Calibri"/>
                <w:b/>
                <w:bCs/>
                <w:sz w:val="18"/>
                <w:szCs w:val="18"/>
              </w:rPr>
              <w:t>2015</w:t>
            </w:r>
          </w:p>
        </w:tc>
      </w:tr>
      <w:tr w:rsidR="00F638BC" w:rsidRPr="00F638BC" w14:paraId="57620960" w14:textId="77777777" w:rsidTr="00F638BC">
        <w:trPr>
          <w:trHeight w:val="20"/>
        </w:trPr>
        <w:tc>
          <w:tcPr>
            <w:tcW w:w="3634" w:type="pct"/>
            <w:gridSpan w:val="3"/>
            <w:tcBorders>
              <w:top w:val="single" w:sz="4" w:space="0" w:color="auto"/>
              <w:left w:val="nil"/>
              <w:bottom w:val="single" w:sz="12" w:space="0" w:color="FFFFFF"/>
              <w:right w:val="nil"/>
            </w:tcBorders>
            <w:shd w:val="clear" w:color="000000" w:fill="F1B828"/>
            <w:noWrap/>
            <w:vAlign w:val="bottom"/>
            <w:hideMark/>
          </w:tcPr>
          <w:p w14:paraId="3E1DE773" w14:textId="77777777" w:rsidR="00F638BC" w:rsidRPr="00F638BC" w:rsidRDefault="00F638BC" w:rsidP="00F638BC">
            <w:pPr>
              <w:spacing w:before="0" w:after="0" w:line="240" w:lineRule="auto"/>
              <w:ind w:firstLineChars="100" w:firstLine="180"/>
              <w:contextualSpacing/>
              <w:rPr>
                <w:rFonts w:ascii="Calibri" w:eastAsia="Times New Roman" w:hAnsi="Calibri" w:cs="Calibri"/>
                <w:b/>
                <w:bCs/>
                <w:color w:val="000000"/>
                <w:sz w:val="18"/>
                <w:szCs w:val="18"/>
              </w:rPr>
            </w:pPr>
            <w:r w:rsidRPr="00F638BC">
              <w:rPr>
                <w:rFonts w:ascii="Calibri" w:eastAsia="Times New Roman" w:hAnsi="Calibri" w:cs="Calibri"/>
                <w:b/>
                <w:bCs/>
                <w:color w:val="000000"/>
                <w:sz w:val="18"/>
                <w:szCs w:val="18"/>
              </w:rPr>
              <w:t>Built Environment</w:t>
            </w:r>
          </w:p>
        </w:tc>
        <w:tc>
          <w:tcPr>
            <w:tcW w:w="439" w:type="pct"/>
            <w:tcBorders>
              <w:top w:val="nil"/>
              <w:left w:val="nil"/>
              <w:bottom w:val="single" w:sz="12" w:space="0" w:color="FFFFFF"/>
              <w:right w:val="nil"/>
            </w:tcBorders>
            <w:shd w:val="clear" w:color="000000" w:fill="F1B828"/>
            <w:noWrap/>
            <w:vAlign w:val="bottom"/>
            <w:hideMark/>
          </w:tcPr>
          <w:p w14:paraId="1C44F2D5"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61.1%</w:t>
            </w:r>
          </w:p>
        </w:tc>
        <w:tc>
          <w:tcPr>
            <w:tcW w:w="449" w:type="pct"/>
            <w:tcBorders>
              <w:top w:val="nil"/>
              <w:left w:val="nil"/>
              <w:bottom w:val="single" w:sz="12" w:space="0" w:color="FFFFFF"/>
              <w:right w:val="nil"/>
            </w:tcBorders>
            <w:shd w:val="clear" w:color="000000" w:fill="F1B828"/>
            <w:noWrap/>
            <w:vAlign w:val="bottom"/>
            <w:hideMark/>
          </w:tcPr>
          <w:p w14:paraId="1C2496DE"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62.7%</w:t>
            </w:r>
          </w:p>
        </w:tc>
        <w:tc>
          <w:tcPr>
            <w:tcW w:w="478" w:type="pct"/>
            <w:tcBorders>
              <w:top w:val="nil"/>
              <w:left w:val="nil"/>
              <w:bottom w:val="single" w:sz="12" w:space="0" w:color="FFFFFF"/>
              <w:right w:val="nil"/>
            </w:tcBorders>
            <w:shd w:val="clear" w:color="000000" w:fill="F1B828"/>
            <w:noWrap/>
            <w:vAlign w:val="bottom"/>
            <w:hideMark/>
          </w:tcPr>
          <w:p w14:paraId="42BC930C"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63.3%</w:t>
            </w:r>
          </w:p>
        </w:tc>
      </w:tr>
      <w:tr w:rsidR="00F638BC" w:rsidRPr="00F638BC" w14:paraId="176E8C84"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670E95CB"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3595787E" w14:textId="77777777" w:rsidR="00F638BC" w:rsidRPr="00F638BC" w:rsidRDefault="00F638BC" w:rsidP="00F638BC">
            <w:pPr>
              <w:spacing w:before="0" w:after="0" w:line="240" w:lineRule="auto"/>
              <w:contextualSpacing/>
              <w:rPr>
                <w:rFonts w:ascii="Calibri" w:eastAsia="Times New Roman" w:hAnsi="Calibri" w:cs="Calibri"/>
                <w:b/>
                <w:bCs/>
                <w:sz w:val="18"/>
                <w:szCs w:val="18"/>
              </w:rPr>
            </w:pPr>
            <w:r w:rsidRPr="00F638BC">
              <w:rPr>
                <w:rFonts w:ascii="Calibri" w:eastAsia="Times New Roman" w:hAnsi="Calibri" w:cs="Calibri"/>
                <w:b/>
                <w:bCs/>
                <w:sz w:val="18"/>
                <w:szCs w:val="18"/>
              </w:rPr>
              <w:t>Residential</w:t>
            </w:r>
          </w:p>
        </w:tc>
        <w:tc>
          <w:tcPr>
            <w:tcW w:w="2240" w:type="pct"/>
            <w:tcBorders>
              <w:top w:val="nil"/>
              <w:left w:val="nil"/>
              <w:bottom w:val="single" w:sz="4" w:space="0" w:color="FFFFFF"/>
              <w:right w:val="single" w:sz="4" w:space="0" w:color="FFFFFF"/>
            </w:tcBorders>
            <w:shd w:val="clear" w:color="auto" w:fill="auto"/>
            <w:noWrap/>
            <w:vAlign w:val="bottom"/>
            <w:hideMark/>
          </w:tcPr>
          <w:p w14:paraId="423C5B41"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439" w:type="pct"/>
            <w:tcBorders>
              <w:top w:val="nil"/>
              <w:left w:val="nil"/>
              <w:bottom w:val="single" w:sz="4" w:space="0" w:color="FFFFFF"/>
              <w:right w:val="single" w:sz="4" w:space="0" w:color="FFFFFF"/>
            </w:tcBorders>
            <w:shd w:val="clear" w:color="auto" w:fill="auto"/>
            <w:noWrap/>
            <w:vAlign w:val="bottom"/>
            <w:hideMark/>
          </w:tcPr>
          <w:p w14:paraId="2085B285"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23.2%</w:t>
            </w:r>
          </w:p>
        </w:tc>
        <w:tc>
          <w:tcPr>
            <w:tcW w:w="449" w:type="pct"/>
            <w:tcBorders>
              <w:top w:val="nil"/>
              <w:left w:val="nil"/>
              <w:bottom w:val="single" w:sz="4" w:space="0" w:color="FFFFFF"/>
              <w:right w:val="single" w:sz="4" w:space="0" w:color="FFFFFF"/>
            </w:tcBorders>
            <w:shd w:val="clear" w:color="auto" w:fill="auto"/>
            <w:noWrap/>
            <w:vAlign w:val="bottom"/>
            <w:hideMark/>
          </w:tcPr>
          <w:p w14:paraId="441E4CFE"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23.4%</w:t>
            </w:r>
          </w:p>
        </w:tc>
        <w:tc>
          <w:tcPr>
            <w:tcW w:w="478" w:type="pct"/>
            <w:tcBorders>
              <w:top w:val="nil"/>
              <w:left w:val="nil"/>
              <w:bottom w:val="single" w:sz="4" w:space="0" w:color="FFFFFF"/>
              <w:right w:val="single" w:sz="4" w:space="0" w:color="FFFFFF"/>
            </w:tcBorders>
            <w:shd w:val="clear" w:color="auto" w:fill="auto"/>
            <w:noWrap/>
            <w:vAlign w:val="bottom"/>
            <w:hideMark/>
          </w:tcPr>
          <w:p w14:paraId="597C7A59"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22.4%</w:t>
            </w:r>
          </w:p>
        </w:tc>
      </w:tr>
      <w:tr w:rsidR="00F638BC" w:rsidRPr="00F638BC" w14:paraId="789FA666"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071151D0"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3E7C5255"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2240" w:type="pct"/>
            <w:tcBorders>
              <w:top w:val="nil"/>
              <w:left w:val="nil"/>
              <w:bottom w:val="single" w:sz="4" w:space="0" w:color="FFFFFF"/>
              <w:right w:val="single" w:sz="4" w:space="0" w:color="FFFFFF"/>
            </w:tcBorders>
            <w:shd w:val="clear" w:color="auto" w:fill="auto"/>
            <w:noWrap/>
            <w:vAlign w:val="bottom"/>
            <w:hideMark/>
          </w:tcPr>
          <w:p w14:paraId="426F6271"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Electricity</w:t>
            </w:r>
          </w:p>
        </w:tc>
        <w:tc>
          <w:tcPr>
            <w:tcW w:w="439" w:type="pct"/>
            <w:tcBorders>
              <w:top w:val="nil"/>
              <w:left w:val="nil"/>
              <w:bottom w:val="single" w:sz="4" w:space="0" w:color="FFFFFF"/>
              <w:right w:val="single" w:sz="4" w:space="0" w:color="FFFFFF"/>
            </w:tcBorders>
            <w:shd w:val="clear" w:color="auto" w:fill="auto"/>
            <w:noWrap/>
            <w:vAlign w:val="bottom"/>
            <w:hideMark/>
          </w:tcPr>
          <w:p w14:paraId="4620618B"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11.4%</w:t>
            </w:r>
          </w:p>
        </w:tc>
        <w:tc>
          <w:tcPr>
            <w:tcW w:w="449" w:type="pct"/>
            <w:tcBorders>
              <w:top w:val="nil"/>
              <w:left w:val="nil"/>
              <w:bottom w:val="single" w:sz="4" w:space="0" w:color="FFFFFF"/>
              <w:right w:val="single" w:sz="4" w:space="0" w:color="FFFFFF"/>
            </w:tcBorders>
            <w:shd w:val="clear" w:color="auto" w:fill="auto"/>
            <w:noWrap/>
            <w:vAlign w:val="bottom"/>
            <w:hideMark/>
          </w:tcPr>
          <w:p w14:paraId="634AD8D3"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11.7%</w:t>
            </w:r>
          </w:p>
        </w:tc>
        <w:tc>
          <w:tcPr>
            <w:tcW w:w="478" w:type="pct"/>
            <w:tcBorders>
              <w:top w:val="nil"/>
              <w:left w:val="nil"/>
              <w:bottom w:val="single" w:sz="4" w:space="0" w:color="FFFFFF"/>
              <w:right w:val="single" w:sz="4" w:space="0" w:color="FFFFFF"/>
            </w:tcBorders>
            <w:shd w:val="clear" w:color="auto" w:fill="auto"/>
            <w:noWrap/>
            <w:vAlign w:val="bottom"/>
            <w:hideMark/>
          </w:tcPr>
          <w:p w14:paraId="496D13DB"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12.1%</w:t>
            </w:r>
          </w:p>
        </w:tc>
      </w:tr>
      <w:tr w:rsidR="00F638BC" w:rsidRPr="00F638BC" w14:paraId="17F44727"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1FBFA233"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15BE3DD8"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2240" w:type="pct"/>
            <w:tcBorders>
              <w:top w:val="nil"/>
              <w:left w:val="nil"/>
              <w:bottom w:val="single" w:sz="4" w:space="0" w:color="FFFFFF"/>
              <w:right w:val="single" w:sz="4" w:space="0" w:color="FFFFFF"/>
            </w:tcBorders>
            <w:shd w:val="clear" w:color="auto" w:fill="auto"/>
            <w:noWrap/>
            <w:vAlign w:val="bottom"/>
            <w:hideMark/>
          </w:tcPr>
          <w:p w14:paraId="3E574D9A"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xml:space="preserve">Natural Gas </w:t>
            </w:r>
          </w:p>
        </w:tc>
        <w:tc>
          <w:tcPr>
            <w:tcW w:w="439" w:type="pct"/>
            <w:tcBorders>
              <w:top w:val="nil"/>
              <w:left w:val="nil"/>
              <w:bottom w:val="single" w:sz="4" w:space="0" w:color="FFFFFF"/>
              <w:right w:val="single" w:sz="4" w:space="0" w:color="FFFFFF"/>
            </w:tcBorders>
            <w:shd w:val="clear" w:color="auto" w:fill="auto"/>
            <w:noWrap/>
            <w:vAlign w:val="bottom"/>
            <w:hideMark/>
          </w:tcPr>
          <w:p w14:paraId="3648E762"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8.2%</w:t>
            </w:r>
          </w:p>
        </w:tc>
        <w:tc>
          <w:tcPr>
            <w:tcW w:w="449" w:type="pct"/>
            <w:tcBorders>
              <w:top w:val="nil"/>
              <w:left w:val="nil"/>
              <w:bottom w:val="single" w:sz="4" w:space="0" w:color="FFFFFF"/>
              <w:right w:val="single" w:sz="4" w:space="0" w:color="FFFFFF"/>
            </w:tcBorders>
            <w:shd w:val="clear" w:color="auto" w:fill="auto"/>
            <w:noWrap/>
            <w:vAlign w:val="bottom"/>
            <w:hideMark/>
          </w:tcPr>
          <w:p w14:paraId="25E17DA9"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8.8%</w:t>
            </w:r>
          </w:p>
        </w:tc>
        <w:tc>
          <w:tcPr>
            <w:tcW w:w="478" w:type="pct"/>
            <w:tcBorders>
              <w:top w:val="nil"/>
              <w:left w:val="nil"/>
              <w:bottom w:val="single" w:sz="4" w:space="0" w:color="FFFFFF"/>
              <w:right w:val="single" w:sz="4" w:space="0" w:color="FFFFFF"/>
            </w:tcBorders>
            <w:shd w:val="clear" w:color="auto" w:fill="auto"/>
            <w:noWrap/>
            <w:vAlign w:val="bottom"/>
            <w:hideMark/>
          </w:tcPr>
          <w:p w14:paraId="569E74D1"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7.3%</w:t>
            </w:r>
          </w:p>
        </w:tc>
      </w:tr>
      <w:tr w:rsidR="00F638BC" w:rsidRPr="00F638BC" w14:paraId="438D8654"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115A52C0"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51255056"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2240" w:type="pct"/>
            <w:tcBorders>
              <w:top w:val="nil"/>
              <w:left w:val="nil"/>
              <w:bottom w:val="single" w:sz="4" w:space="0" w:color="FFFFFF"/>
              <w:right w:val="single" w:sz="4" w:space="0" w:color="FFFFFF"/>
            </w:tcBorders>
            <w:shd w:val="clear" w:color="auto" w:fill="auto"/>
            <w:noWrap/>
            <w:vAlign w:val="bottom"/>
            <w:hideMark/>
          </w:tcPr>
          <w:p w14:paraId="1F87E31D"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Petroleum (Heating)</w:t>
            </w:r>
          </w:p>
        </w:tc>
        <w:tc>
          <w:tcPr>
            <w:tcW w:w="439" w:type="pct"/>
            <w:tcBorders>
              <w:top w:val="nil"/>
              <w:left w:val="nil"/>
              <w:bottom w:val="single" w:sz="4" w:space="0" w:color="FFFFFF"/>
              <w:right w:val="single" w:sz="4" w:space="0" w:color="FFFFFF"/>
            </w:tcBorders>
            <w:shd w:val="clear" w:color="auto" w:fill="auto"/>
            <w:noWrap/>
            <w:vAlign w:val="bottom"/>
            <w:hideMark/>
          </w:tcPr>
          <w:p w14:paraId="3B208A48"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1.5%</w:t>
            </w:r>
          </w:p>
        </w:tc>
        <w:tc>
          <w:tcPr>
            <w:tcW w:w="449" w:type="pct"/>
            <w:tcBorders>
              <w:top w:val="nil"/>
              <w:left w:val="nil"/>
              <w:bottom w:val="single" w:sz="4" w:space="0" w:color="FFFFFF"/>
              <w:right w:val="single" w:sz="4" w:space="0" w:color="FFFFFF"/>
            </w:tcBorders>
            <w:shd w:val="clear" w:color="auto" w:fill="auto"/>
            <w:noWrap/>
            <w:vAlign w:val="bottom"/>
            <w:hideMark/>
          </w:tcPr>
          <w:p w14:paraId="6A65AF37"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1.0%</w:t>
            </w:r>
          </w:p>
        </w:tc>
        <w:tc>
          <w:tcPr>
            <w:tcW w:w="478" w:type="pct"/>
            <w:tcBorders>
              <w:top w:val="nil"/>
              <w:left w:val="nil"/>
              <w:bottom w:val="single" w:sz="4" w:space="0" w:color="FFFFFF"/>
              <w:right w:val="single" w:sz="4" w:space="0" w:color="FFFFFF"/>
            </w:tcBorders>
            <w:shd w:val="clear" w:color="auto" w:fill="auto"/>
            <w:noWrap/>
            <w:vAlign w:val="bottom"/>
            <w:hideMark/>
          </w:tcPr>
          <w:p w14:paraId="59FFC09F"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0.6%</w:t>
            </w:r>
          </w:p>
        </w:tc>
      </w:tr>
      <w:tr w:rsidR="00F638BC" w:rsidRPr="00F638BC" w14:paraId="30D8038E"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276713F1"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3874CCB5"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2240" w:type="pct"/>
            <w:tcBorders>
              <w:top w:val="nil"/>
              <w:left w:val="nil"/>
              <w:bottom w:val="single" w:sz="4" w:space="0" w:color="FFFFFF"/>
              <w:right w:val="single" w:sz="4" w:space="0" w:color="FFFFFF"/>
            </w:tcBorders>
            <w:shd w:val="clear" w:color="auto" w:fill="auto"/>
            <w:noWrap/>
            <w:vAlign w:val="bottom"/>
            <w:hideMark/>
          </w:tcPr>
          <w:p w14:paraId="73DE1285"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Petroleum (Non-road equipment)</w:t>
            </w:r>
          </w:p>
        </w:tc>
        <w:tc>
          <w:tcPr>
            <w:tcW w:w="439" w:type="pct"/>
            <w:tcBorders>
              <w:top w:val="nil"/>
              <w:left w:val="nil"/>
              <w:bottom w:val="single" w:sz="4" w:space="0" w:color="FFFFFF"/>
              <w:right w:val="single" w:sz="4" w:space="0" w:color="FFFFFF"/>
            </w:tcBorders>
            <w:shd w:val="clear" w:color="auto" w:fill="auto"/>
            <w:noWrap/>
            <w:vAlign w:val="bottom"/>
            <w:hideMark/>
          </w:tcPr>
          <w:p w14:paraId="29795F32"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2.1%</w:t>
            </w:r>
          </w:p>
        </w:tc>
        <w:tc>
          <w:tcPr>
            <w:tcW w:w="449" w:type="pct"/>
            <w:tcBorders>
              <w:top w:val="nil"/>
              <w:left w:val="nil"/>
              <w:bottom w:val="single" w:sz="4" w:space="0" w:color="FFFFFF"/>
              <w:right w:val="single" w:sz="4" w:space="0" w:color="FFFFFF"/>
            </w:tcBorders>
            <w:shd w:val="clear" w:color="auto" w:fill="auto"/>
            <w:noWrap/>
            <w:vAlign w:val="bottom"/>
            <w:hideMark/>
          </w:tcPr>
          <w:p w14:paraId="3045C3C7"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2.0%</w:t>
            </w:r>
          </w:p>
        </w:tc>
        <w:tc>
          <w:tcPr>
            <w:tcW w:w="478" w:type="pct"/>
            <w:tcBorders>
              <w:top w:val="nil"/>
              <w:left w:val="nil"/>
              <w:bottom w:val="single" w:sz="4" w:space="0" w:color="FFFFFF"/>
              <w:right w:val="single" w:sz="4" w:space="0" w:color="FFFFFF"/>
            </w:tcBorders>
            <w:shd w:val="clear" w:color="auto" w:fill="auto"/>
            <w:noWrap/>
            <w:vAlign w:val="bottom"/>
            <w:hideMark/>
          </w:tcPr>
          <w:p w14:paraId="7F746F1F"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2.3%</w:t>
            </w:r>
          </w:p>
        </w:tc>
      </w:tr>
      <w:tr w:rsidR="00F638BC" w:rsidRPr="00F638BC" w14:paraId="2BF900F1"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6A0D2BD6"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16579500" w14:textId="77777777" w:rsidR="00F638BC" w:rsidRPr="00F638BC" w:rsidRDefault="00F638BC" w:rsidP="00F638BC">
            <w:pPr>
              <w:spacing w:before="0" w:after="0" w:line="240" w:lineRule="auto"/>
              <w:contextualSpacing/>
              <w:rPr>
                <w:rFonts w:ascii="Calibri" w:eastAsia="Times New Roman" w:hAnsi="Calibri" w:cs="Calibri"/>
                <w:b/>
                <w:bCs/>
                <w:sz w:val="18"/>
                <w:szCs w:val="18"/>
              </w:rPr>
            </w:pPr>
            <w:r w:rsidRPr="00F638BC">
              <w:rPr>
                <w:rFonts w:ascii="Calibri" w:eastAsia="Times New Roman" w:hAnsi="Calibri" w:cs="Calibri"/>
                <w:b/>
                <w:bCs/>
                <w:sz w:val="18"/>
                <w:szCs w:val="18"/>
              </w:rPr>
              <w:t>Commercial</w:t>
            </w:r>
          </w:p>
        </w:tc>
        <w:tc>
          <w:tcPr>
            <w:tcW w:w="2240" w:type="pct"/>
            <w:tcBorders>
              <w:top w:val="nil"/>
              <w:left w:val="nil"/>
              <w:bottom w:val="single" w:sz="4" w:space="0" w:color="FFFFFF"/>
              <w:right w:val="single" w:sz="4" w:space="0" w:color="FFFFFF"/>
            </w:tcBorders>
            <w:shd w:val="clear" w:color="auto" w:fill="auto"/>
            <w:noWrap/>
            <w:vAlign w:val="bottom"/>
            <w:hideMark/>
          </w:tcPr>
          <w:p w14:paraId="38FBD5D3"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439" w:type="pct"/>
            <w:tcBorders>
              <w:top w:val="nil"/>
              <w:left w:val="nil"/>
              <w:bottom w:val="single" w:sz="4" w:space="0" w:color="FFFFFF"/>
              <w:right w:val="single" w:sz="4" w:space="0" w:color="FFFFFF"/>
            </w:tcBorders>
            <w:shd w:val="clear" w:color="auto" w:fill="auto"/>
            <w:noWrap/>
            <w:vAlign w:val="bottom"/>
            <w:hideMark/>
          </w:tcPr>
          <w:p w14:paraId="3046DBAA"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20.7%</w:t>
            </w:r>
          </w:p>
        </w:tc>
        <w:tc>
          <w:tcPr>
            <w:tcW w:w="449" w:type="pct"/>
            <w:tcBorders>
              <w:top w:val="nil"/>
              <w:left w:val="nil"/>
              <w:bottom w:val="single" w:sz="4" w:space="0" w:color="FFFFFF"/>
              <w:right w:val="single" w:sz="4" w:space="0" w:color="FFFFFF"/>
            </w:tcBorders>
            <w:shd w:val="clear" w:color="auto" w:fill="auto"/>
            <w:noWrap/>
            <w:vAlign w:val="bottom"/>
            <w:hideMark/>
          </w:tcPr>
          <w:p w14:paraId="2965E4B2"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21.7%</w:t>
            </w:r>
          </w:p>
        </w:tc>
        <w:tc>
          <w:tcPr>
            <w:tcW w:w="478" w:type="pct"/>
            <w:tcBorders>
              <w:top w:val="nil"/>
              <w:left w:val="nil"/>
              <w:bottom w:val="single" w:sz="4" w:space="0" w:color="FFFFFF"/>
              <w:right w:val="single" w:sz="4" w:space="0" w:color="FFFFFF"/>
            </w:tcBorders>
            <w:shd w:val="clear" w:color="auto" w:fill="auto"/>
            <w:noWrap/>
            <w:vAlign w:val="bottom"/>
            <w:hideMark/>
          </w:tcPr>
          <w:p w14:paraId="450355A2"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22.9%</w:t>
            </w:r>
          </w:p>
        </w:tc>
      </w:tr>
      <w:tr w:rsidR="00F638BC" w:rsidRPr="00F638BC" w14:paraId="0FC62EB3"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0AA5F645"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1BE56AF1"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2240" w:type="pct"/>
            <w:tcBorders>
              <w:top w:val="nil"/>
              <w:left w:val="nil"/>
              <w:bottom w:val="single" w:sz="4" w:space="0" w:color="FFFFFF"/>
              <w:right w:val="single" w:sz="4" w:space="0" w:color="FFFFFF"/>
            </w:tcBorders>
            <w:shd w:val="clear" w:color="auto" w:fill="auto"/>
            <w:noWrap/>
            <w:vAlign w:val="bottom"/>
            <w:hideMark/>
          </w:tcPr>
          <w:p w14:paraId="4B446A07"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Electricity</w:t>
            </w:r>
          </w:p>
        </w:tc>
        <w:tc>
          <w:tcPr>
            <w:tcW w:w="439" w:type="pct"/>
            <w:tcBorders>
              <w:top w:val="nil"/>
              <w:left w:val="nil"/>
              <w:bottom w:val="single" w:sz="4" w:space="0" w:color="FFFFFF"/>
              <w:right w:val="single" w:sz="4" w:space="0" w:color="FFFFFF"/>
            </w:tcBorders>
            <w:shd w:val="clear" w:color="auto" w:fill="auto"/>
            <w:noWrap/>
            <w:vAlign w:val="bottom"/>
            <w:hideMark/>
          </w:tcPr>
          <w:p w14:paraId="1AA47D84"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12.2%</w:t>
            </w:r>
          </w:p>
        </w:tc>
        <w:tc>
          <w:tcPr>
            <w:tcW w:w="449" w:type="pct"/>
            <w:tcBorders>
              <w:top w:val="nil"/>
              <w:left w:val="nil"/>
              <w:bottom w:val="single" w:sz="4" w:space="0" w:color="FFFFFF"/>
              <w:right w:val="single" w:sz="4" w:space="0" w:color="FFFFFF"/>
            </w:tcBorders>
            <w:shd w:val="clear" w:color="auto" w:fill="auto"/>
            <w:noWrap/>
            <w:vAlign w:val="bottom"/>
            <w:hideMark/>
          </w:tcPr>
          <w:p w14:paraId="336FE4CE"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12.9%</w:t>
            </w:r>
          </w:p>
        </w:tc>
        <w:tc>
          <w:tcPr>
            <w:tcW w:w="478" w:type="pct"/>
            <w:tcBorders>
              <w:top w:val="nil"/>
              <w:left w:val="nil"/>
              <w:bottom w:val="single" w:sz="4" w:space="0" w:color="FFFFFF"/>
              <w:right w:val="single" w:sz="4" w:space="0" w:color="FFFFFF"/>
            </w:tcBorders>
            <w:shd w:val="clear" w:color="auto" w:fill="auto"/>
            <w:noWrap/>
            <w:vAlign w:val="bottom"/>
            <w:hideMark/>
          </w:tcPr>
          <w:p w14:paraId="66A980FC"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13.8%</w:t>
            </w:r>
          </w:p>
        </w:tc>
      </w:tr>
      <w:tr w:rsidR="00F638BC" w:rsidRPr="00F638BC" w14:paraId="0FE72CC4"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40FA32C3"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597A4359"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2240" w:type="pct"/>
            <w:tcBorders>
              <w:top w:val="nil"/>
              <w:left w:val="nil"/>
              <w:bottom w:val="single" w:sz="4" w:space="0" w:color="FFFFFF"/>
              <w:right w:val="single" w:sz="4" w:space="0" w:color="FFFFFF"/>
            </w:tcBorders>
            <w:shd w:val="clear" w:color="auto" w:fill="auto"/>
            <w:noWrap/>
            <w:vAlign w:val="bottom"/>
            <w:hideMark/>
          </w:tcPr>
          <w:p w14:paraId="4276855F"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Natural Gas (Heat and Other)</w:t>
            </w:r>
          </w:p>
        </w:tc>
        <w:tc>
          <w:tcPr>
            <w:tcW w:w="439" w:type="pct"/>
            <w:tcBorders>
              <w:top w:val="nil"/>
              <w:left w:val="nil"/>
              <w:bottom w:val="single" w:sz="4" w:space="0" w:color="FFFFFF"/>
              <w:right w:val="single" w:sz="4" w:space="0" w:color="FFFFFF"/>
            </w:tcBorders>
            <w:shd w:val="clear" w:color="auto" w:fill="auto"/>
            <w:noWrap/>
            <w:vAlign w:val="bottom"/>
            <w:hideMark/>
          </w:tcPr>
          <w:p w14:paraId="57E777C2"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5.4%</w:t>
            </w:r>
          </w:p>
        </w:tc>
        <w:tc>
          <w:tcPr>
            <w:tcW w:w="449" w:type="pct"/>
            <w:tcBorders>
              <w:top w:val="nil"/>
              <w:left w:val="nil"/>
              <w:bottom w:val="single" w:sz="4" w:space="0" w:color="FFFFFF"/>
              <w:right w:val="single" w:sz="4" w:space="0" w:color="FFFFFF"/>
            </w:tcBorders>
            <w:shd w:val="clear" w:color="auto" w:fill="auto"/>
            <w:noWrap/>
            <w:vAlign w:val="bottom"/>
            <w:hideMark/>
          </w:tcPr>
          <w:p w14:paraId="65EA3D0B"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5.6%</w:t>
            </w:r>
          </w:p>
        </w:tc>
        <w:tc>
          <w:tcPr>
            <w:tcW w:w="478" w:type="pct"/>
            <w:tcBorders>
              <w:top w:val="nil"/>
              <w:left w:val="nil"/>
              <w:bottom w:val="single" w:sz="4" w:space="0" w:color="FFFFFF"/>
              <w:right w:val="single" w:sz="4" w:space="0" w:color="FFFFFF"/>
            </w:tcBorders>
            <w:shd w:val="clear" w:color="auto" w:fill="auto"/>
            <w:noWrap/>
            <w:vAlign w:val="bottom"/>
            <w:hideMark/>
          </w:tcPr>
          <w:p w14:paraId="6634BA97"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5.4%</w:t>
            </w:r>
          </w:p>
        </w:tc>
      </w:tr>
      <w:tr w:rsidR="00F638BC" w:rsidRPr="00F638BC" w14:paraId="3C4AAAFD"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32AD22FC"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3723F7D6"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2240" w:type="pct"/>
            <w:tcBorders>
              <w:top w:val="nil"/>
              <w:left w:val="nil"/>
              <w:bottom w:val="single" w:sz="4" w:space="0" w:color="FFFFFF"/>
              <w:right w:val="single" w:sz="4" w:space="0" w:color="FFFFFF"/>
            </w:tcBorders>
            <w:shd w:val="clear" w:color="auto" w:fill="auto"/>
            <w:noWrap/>
            <w:vAlign w:val="bottom"/>
            <w:hideMark/>
          </w:tcPr>
          <w:p w14:paraId="79E7A1DC"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Natural Gas (Equipment)</w:t>
            </w:r>
          </w:p>
        </w:tc>
        <w:tc>
          <w:tcPr>
            <w:tcW w:w="439" w:type="pct"/>
            <w:tcBorders>
              <w:top w:val="nil"/>
              <w:left w:val="nil"/>
              <w:bottom w:val="single" w:sz="4" w:space="0" w:color="FFFFFF"/>
              <w:right w:val="single" w:sz="4" w:space="0" w:color="FFFFFF"/>
            </w:tcBorders>
            <w:shd w:val="clear" w:color="auto" w:fill="auto"/>
            <w:noWrap/>
            <w:vAlign w:val="bottom"/>
            <w:hideMark/>
          </w:tcPr>
          <w:p w14:paraId="46395BF3"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0.4%</w:t>
            </w:r>
          </w:p>
        </w:tc>
        <w:tc>
          <w:tcPr>
            <w:tcW w:w="449" w:type="pct"/>
            <w:tcBorders>
              <w:top w:val="nil"/>
              <w:left w:val="nil"/>
              <w:bottom w:val="single" w:sz="4" w:space="0" w:color="FFFFFF"/>
              <w:right w:val="single" w:sz="4" w:space="0" w:color="FFFFFF"/>
            </w:tcBorders>
            <w:shd w:val="clear" w:color="auto" w:fill="auto"/>
            <w:noWrap/>
            <w:vAlign w:val="bottom"/>
            <w:hideMark/>
          </w:tcPr>
          <w:p w14:paraId="218949D4"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0.4%</w:t>
            </w:r>
          </w:p>
        </w:tc>
        <w:tc>
          <w:tcPr>
            <w:tcW w:w="478" w:type="pct"/>
            <w:tcBorders>
              <w:top w:val="nil"/>
              <w:left w:val="nil"/>
              <w:bottom w:val="single" w:sz="4" w:space="0" w:color="FFFFFF"/>
              <w:right w:val="single" w:sz="4" w:space="0" w:color="FFFFFF"/>
            </w:tcBorders>
            <w:shd w:val="clear" w:color="auto" w:fill="auto"/>
            <w:noWrap/>
            <w:vAlign w:val="bottom"/>
            <w:hideMark/>
          </w:tcPr>
          <w:p w14:paraId="2AE2079C"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0.7%</w:t>
            </w:r>
          </w:p>
        </w:tc>
      </w:tr>
      <w:tr w:rsidR="00F638BC" w:rsidRPr="00F638BC" w14:paraId="4FD8AF73"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178E720C"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4EB9EA6F"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2240" w:type="pct"/>
            <w:tcBorders>
              <w:top w:val="nil"/>
              <w:left w:val="nil"/>
              <w:bottom w:val="single" w:sz="4" w:space="0" w:color="FFFFFF"/>
              <w:right w:val="single" w:sz="4" w:space="0" w:color="FFFFFF"/>
            </w:tcBorders>
            <w:shd w:val="clear" w:color="auto" w:fill="auto"/>
            <w:noWrap/>
            <w:vAlign w:val="bottom"/>
            <w:hideMark/>
          </w:tcPr>
          <w:p w14:paraId="4D638761"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Petroleum (Heat and Other)</w:t>
            </w:r>
          </w:p>
        </w:tc>
        <w:tc>
          <w:tcPr>
            <w:tcW w:w="439" w:type="pct"/>
            <w:tcBorders>
              <w:top w:val="nil"/>
              <w:left w:val="nil"/>
              <w:bottom w:val="single" w:sz="4" w:space="0" w:color="FFFFFF"/>
              <w:right w:val="single" w:sz="4" w:space="0" w:color="FFFFFF"/>
            </w:tcBorders>
            <w:shd w:val="clear" w:color="auto" w:fill="auto"/>
            <w:noWrap/>
            <w:vAlign w:val="bottom"/>
            <w:hideMark/>
          </w:tcPr>
          <w:p w14:paraId="7E4D7305"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1.1%</w:t>
            </w:r>
          </w:p>
        </w:tc>
        <w:tc>
          <w:tcPr>
            <w:tcW w:w="449" w:type="pct"/>
            <w:tcBorders>
              <w:top w:val="nil"/>
              <w:left w:val="nil"/>
              <w:bottom w:val="single" w:sz="4" w:space="0" w:color="FFFFFF"/>
              <w:right w:val="single" w:sz="4" w:space="0" w:color="FFFFFF"/>
            </w:tcBorders>
            <w:shd w:val="clear" w:color="auto" w:fill="auto"/>
            <w:noWrap/>
            <w:vAlign w:val="bottom"/>
            <w:hideMark/>
          </w:tcPr>
          <w:p w14:paraId="7C427E66"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1.2%</w:t>
            </w:r>
          </w:p>
        </w:tc>
        <w:tc>
          <w:tcPr>
            <w:tcW w:w="478" w:type="pct"/>
            <w:tcBorders>
              <w:top w:val="nil"/>
              <w:left w:val="nil"/>
              <w:bottom w:val="single" w:sz="4" w:space="0" w:color="FFFFFF"/>
              <w:right w:val="single" w:sz="4" w:space="0" w:color="FFFFFF"/>
            </w:tcBorders>
            <w:shd w:val="clear" w:color="auto" w:fill="auto"/>
            <w:noWrap/>
            <w:vAlign w:val="bottom"/>
            <w:hideMark/>
          </w:tcPr>
          <w:p w14:paraId="1DF80B5D"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1.2%</w:t>
            </w:r>
          </w:p>
        </w:tc>
      </w:tr>
      <w:tr w:rsidR="00F638BC" w:rsidRPr="00F638BC" w14:paraId="380F0C72"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46CF9F40"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261D373D"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2240" w:type="pct"/>
            <w:tcBorders>
              <w:top w:val="nil"/>
              <w:left w:val="nil"/>
              <w:bottom w:val="single" w:sz="4" w:space="0" w:color="FFFFFF"/>
              <w:right w:val="single" w:sz="4" w:space="0" w:color="FFFFFF"/>
            </w:tcBorders>
            <w:shd w:val="clear" w:color="auto" w:fill="auto"/>
            <w:noWrap/>
            <w:vAlign w:val="bottom"/>
            <w:hideMark/>
          </w:tcPr>
          <w:p w14:paraId="49DCE298"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Petroleum (Equipment)</w:t>
            </w:r>
          </w:p>
        </w:tc>
        <w:tc>
          <w:tcPr>
            <w:tcW w:w="439" w:type="pct"/>
            <w:tcBorders>
              <w:top w:val="nil"/>
              <w:left w:val="nil"/>
              <w:bottom w:val="single" w:sz="4" w:space="0" w:color="FFFFFF"/>
              <w:right w:val="single" w:sz="4" w:space="0" w:color="FFFFFF"/>
            </w:tcBorders>
            <w:shd w:val="clear" w:color="auto" w:fill="auto"/>
            <w:noWrap/>
            <w:vAlign w:val="bottom"/>
            <w:hideMark/>
          </w:tcPr>
          <w:p w14:paraId="39EDCD57"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0.9%</w:t>
            </w:r>
          </w:p>
        </w:tc>
        <w:tc>
          <w:tcPr>
            <w:tcW w:w="449" w:type="pct"/>
            <w:tcBorders>
              <w:top w:val="nil"/>
              <w:left w:val="nil"/>
              <w:bottom w:val="single" w:sz="4" w:space="0" w:color="FFFFFF"/>
              <w:right w:val="single" w:sz="4" w:space="0" w:color="FFFFFF"/>
            </w:tcBorders>
            <w:shd w:val="clear" w:color="auto" w:fill="auto"/>
            <w:noWrap/>
            <w:vAlign w:val="bottom"/>
            <w:hideMark/>
          </w:tcPr>
          <w:p w14:paraId="72EB6090"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0.8%</w:t>
            </w:r>
          </w:p>
        </w:tc>
        <w:tc>
          <w:tcPr>
            <w:tcW w:w="478" w:type="pct"/>
            <w:tcBorders>
              <w:top w:val="nil"/>
              <w:left w:val="nil"/>
              <w:bottom w:val="single" w:sz="4" w:space="0" w:color="FFFFFF"/>
              <w:right w:val="single" w:sz="4" w:space="0" w:color="FFFFFF"/>
            </w:tcBorders>
            <w:shd w:val="clear" w:color="auto" w:fill="auto"/>
            <w:noWrap/>
            <w:vAlign w:val="bottom"/>
            <w:hideMark/>
          </w:tcPr>
          <w:p w14:paraId="4AE46BF9"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1.2%</w:t>
            </w:r>
          </w:p>
        </w:tc>
      </w:tr>
      <w:tr w:rsidR="00F638BC" w:rsidRPr="00F638BC" w14:paraId="2E7EAD94"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345D34DA"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76C154F3"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2240" w:type="pct"/>
            <w:tcBorders>
              <w:top w:val="nil"/>
              <w:left w:val="nil"/>
              <w:bottom w:val="single" w:sz="4" w:space="0" w:color="FFFFFF"/>
              <w:right w:val="single" w:sz="4" w:space="0" w:color="FFFFFF"/>
            </w:tcBorders>
            <w:shd w:val="clear" w:color="auto" w:fill="auto"/>
            <w:noWrap/>
            <w:vAlign w:val="bottom"/>
            <w:hideMark/>
          </w:tcPr>
          <w:p w14:paraId="71E4F299"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Steam</w:t>
            </w:r>
          </w:p>
        </w:tc>
        <w:tc>
          <w:tcPr>
            <w:tcW w:w="439" w:type="pct"/>
            <w:tcBorders>
              <w:top w:val="nil"/>
              <w:left w:val="nil"/>
              <w:bottom w:val="single" w:sz="4" w:space="0" w:color="FFFFFF"/>
              <w:right w:val="single" w:sz="4" w:space="0" w:color="FFFFFF"/>
            </w:tcBorders>
            <w:shd w:val="clear" w:color="auto" w:fill="auto"/>
            <w:noWrap/>
            <w:vAlign w:val="bottom"/>
            <w:hideMark/>
          </w:tcPr>
          <w:p w14:paraId="773BCF64"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0.8%</w:t>
            </w:r>
          </w:p>
        </w:tc>
        <w:tc>
          <w:tcPr>
            <w:tcW w:w="449" w:type="pct"/>
            <w:tcBorders>
              <w:top w:val="nil"/>
              <w:left w:val="nil"/>
              <w:bottom w:val="single" w:sz="4" w:space="0" w:color="FFFFFF"/>
              <w:right w:val="single" w:sz="4" w:space="0" w:color="FFFFFF"/>
            </w:tcBorders>
            <w:shd w:val="clear" w:color="auto" w:fill="auto"/>
            <w:noWrap/>
            <w:vAlign w:val="bottom"/>
            <w:hideMark/>
          </w:tcPr>
          <w:p w14:paraId="4C901A40"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0.9%</w:t>
            </w:r>
          </w:p>
        </w:tc>
        <w:tc>
          <w:tcPr>
            <w:tcW w:w="478" w:type="pct"/>
            <w:tcBorders>
              <w:top w:val="nil"/>
              <w:left w:val="nil"/>
              <w:bottom w:val="single" w:sz="4" w:space="0" w:color="FFFFFF"/>
              <w:right w:val="single" w:sz="4" w:space="0" w:color="FFFFFF"/>
            </w:tcBorders>
            <w:shd w:val="clear" w:color="auto" w:fill="auto"/>
            <w:noWrap/>
            <w:vAlign w:val="bottom"/>
            <w:hideMark/>
          </w:tcPr>
          <w:p w14:paraId="4F4BEAE2"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0.7%</w:t>
            </w:r>
          </w:p>
        </w:tc>
      </w:tr>
      <w:tr w:rsidR="00F638BC" w:rsidRPr="00F638BC" w14:paraId="761C58DC"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4CD5D990"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43083823" w14:textId="77777777" w:rsidR="00F638BC" w:rsidRPr="00F638BC" w:rsidRDefault="00F638BC" w:rsidP="00F638BC">
            <w:pPr>
              <w:spacing w:before="0" w:after="0" w:line="240" w:lineRule="auto"/>
              <w:contextualSpacing/>
              <w:rPr>
                <w:rFonts w:ascii="Calibri" w:eastAsia="Times New Roman" w:hAnsi="Calibri" w:cs="Calibri"/>
                <w:b/>
                <w:bCs/>
                <w:sz w:val="18"/>
                <w:szCs w:val="18"/>
              </w:rPr>
            </w:pPr>
            <w:r w:rsidRPr="00F638BC">
              <w:rPr>
                <w:rFonts w:ascii="Calibri" w:eastAsia="Times New Roman" w:hAnsi="Calibri" w:cs="Calibri"/>
                <w:b/>
                <w:bCs/>
                <w:sz w:val="18"/>
                <w:szCs w:val="18"/>
              </w:rPr>
              <w:t>Industrial</w:t>
            </w:r>
          </w:p>
        </w:tc>
        <w:tc>
          <w:tcPr>
            <w:tcW w:w="2240" w:type="pct"/>
            <w:tcBorders>
              <w:top w:val="nil"/>
              <w:left w:val="nil"/>
              <w:bottom w:val="single" w:sz="4" w:space="0" w:color="FFFFFF"/>
              <w:right w:val="single" w:sz="4" w:space="0" w:color="FFFFFF"/>
            </w:tcBorders>
            <w:shd w:val="clear" w:color="auto" w:fill="auto"/>
            <w:noWrap/>
            <w:vAlign w:val="bottom"/>
            <w:hideMark/>
          </w:tcPr>
          <w:p w14:paraId="2D5E73DA"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439" w:type="pct"/>
            <w:tcBorders>
              <w:top w:val="nil"/>
              <w:left w:val="nil"/>
              <w:bottom w:val="single" w:sz="4" w:space="0" w:color="FFFFFF"/>
              <w:right w:val="single" w:sz="4" w:space="0" w:color="FFFFFF"/>
            </w:tcBorders>
            <w:shd w:val="clear" w:color="auto" w:fill="auto"/>
            <w:noWrap/>
            <w:vAlign w:val="bottom"/>
            <w:hideMark/>
          </w:tcPr>
          <w:p w14:paraId="1B8F4392"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17.2%</w:t>
            </w:r>
          </w:p>
        </w:tc>
        <w:tc>
          <w:tcPr>
            <w:tcW w:w="449" w:type="pct"/>
            <w:tcBorders>
              <w:top w:val="nil"/>
              <w:left w:val="nil"/>
              <w:bottom w:val="single" w:sz="4" w:space="0" w:color="FFFFFF"/>
              <w:right w:val="single" w:sz="4" w:space="0" w:color="FFFFFF"/>
            </w:tcBorders>
            <w:shd w:val="clear" w:color="auto" w:fill="auto"/>
            <w:noWrap/>
            <w:vAlign w:val="bottom"/>
            <w:hideMark/>
          </w:tcPr>
          <w:p w14:paraId="621FF58E"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17.5%</w:t>
            </w:r>
          </w:p>
        </w:tc>
        <w:tc>
          <w:tcPr>
            <w:tcW w:w="478" w:type="pct"/>
            <w:tcBorders>
              <w:top w:val="nil"/>
              <w:left w:val="nil"/>
              <w:bottom w:val="single" w:sz="4" w:space="0" w:color="FFFFFF"/>
              <w:right w:val="single" w:sz="4" w:space="0" w:color="FFFFFF"/>
            </w:tcBorders>
            <w:shd w:val="clear" w:color="auto" w:fill="auto"/>
            <w:noWrap/>
            <w:vAlign w:val="bottom"/>
            <w:hideMark/>
          </w:tcPr>
          <w:p w14:paraId="7F1C274B"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18.0%</w:t>
            </w:r>
          </w:p>
        </w:tc>
      </w:tr>
      <w:tr w:rsidR="00F638BC" w:rsidRPr="00F638BC" w14:paraId="39BEBEF8"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3889F06D"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1ED94CDB"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2240" w:type="pct"/>
            <w:tcBorders>
              <w:top w:val="nil"/>
              <w:left w:val="nil"/>
              <w:bottom w:val="single" w:sz="4" w:space="0" w:color="FFFFFF"/>
              <w:right w:val="single" w:sz="4" w:space="0" w:color="FFFFFF"/>
            </w:tcBorders>
            <w:shd w:val="clear" w:color="auto" w:fill="auto"/>
            <w:noWrap/>
            <w:vAlign w:val="bottom"/>
            <w:hideMark/>
          </w:tcPr>
          <w:p w14:paraId="11663D6F"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Electricity</w:t>
            </w:r>
          </w:p>
        </w:tc>
        <w:tc>
          <w:tcPr>
            <w:tcW w:w="439" w:type="pct"/>
            <w:tcBorders>
              <w:top w:val="nil"/>
              <w:left w:val="nil"/>
              <w:bottom w:val="single" w:sz="4" w:space="0" w:color="FFFFFF"/>
              <w:right w:val="single" w:sz="4" w:space="0" w:color="FFFFFF"/>
            </w:tcBorders>
            <w:shd w:val="clear" w:color="auto" w:fill="auto"/>
            <w:noWrap/>
            <w:vAlign w:val="bottom"/>
            <w:hideMark/>
          </w:tcPr>
          <w:p w14:paraId="1A4F96EE"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3.2%</w:t>
            </w:r>
          </w:p>
        </w:tc>
        <w:tc>
          <w:tcPr>
            <w:tcW w:w="449" w:type="pct"/>
            <w:tcBorders>
              <w:top w:val="nil"/>
              <w:left w:val="nil"/>
              <w:bottom w:val="single" w:sz="4" w:space="0" w:color="FFFFFF"/>
              <w:right w:val="single" w:sz="4" w:space="0" w:color="FFFFFF"/>
            </w:tcBorders>
            <w:shd w:val="clear" w:color="auto" w:fill="auto"/>
            <w:noWrap/>
            <w:vAlign w:val="bottom"/>
            <w:hideMark/>
          </w:tcPr>
          <w:p w14:paraId="7A5DE680"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2.8%</w:t>
            </w:r>
          </w:p>
        </w:tc>
        <w:tc>
          <w:tcPr>
            <w:tcW w:w="478" w:type="pct"/>
            <w:tcBorders>
              <w:top w:val="nil"/>
              <w:left w:val="nil"/>
              <w:bottom w:val="single" w:sz="4" w:space="0" w:color="FFFFFF"/>
              <w:right w:val="single" w:sz="4" w:space="0" w:color="FFFFFF"/>
            </w:tcBorders>
            <w:shd w:val="clear" w:color="auto" w:fill="auto"/>
            <w:noWrap/>
            <w:vAlign w:val="bottom"/>
            <w:hideMark/>
          </w:tcPr>
          <w:p w14:paraId="7F60A59F"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2.9%</w:t>
            </w:r>
          </w:p>
        </w:tc>
      </w:tr>
      <w:tr w:rsidR="00F638BC" w:rsidRPr="00F638BC" w14:paraId="060D44FA"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65B113D2"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5552566D"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2240" w:type="pct"/>
            <w:tcBorders>
              <w:top w:val="nil"/>
              <w:left w:val="nil"/>
              <w:bottom w:val="single" w:sz="4" w:space="0" w:color="FFFFFF"/>
              <w:right w:val="single" w:sz="4" w:space="0" w:color="FFFFFF"/>
            </w:tcBorders>
            <w:shd w:val="clear" w:color="auto" w:fill="auto"/>
            <w:noWrap/>
            <w:vAlign w:val="bottom"/>
            <w:hideMark/>
          </w:tcPr>
          <w:p w14:paraId="52CA6618"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Process emissions</w:t>
            </w:r>
          </w:p>
        </w:tc>
        <w:tc>
          <w:tcPr>
            <w:tcW w:w="439" w:type="pct"/>
            <w:tcBorders>
              <w:top w:val="nil"/>
              <w:left w:val="nil"/>
              <w:bottom w:val="single" w:sz="4" w:space="0" w:color="FFFFFF"/>
              <w:right w:val="single" w:sz="4" w:space="0" w:color="FFFFFF"/>
            </w:tcBorders>
            <w:shd w:val="clear" w:color="auto" w:fill="auto"/>
            <w:noWrap/>
            <w:vAlign w:val="bottom"/>
            <w:hideMark/>
          </w:tcPr>
          <w:p w14:paraId="39BB8009"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2.3%</w:t>
            </w:r>
          </w:p>
        </w:tc>
        <w:tc>
          <w:tcPr>
            <w:tcW w:w="449" w:type="pct"/>
            <w:tcBorders>
              <w:top w:val="nil"/>
              <w:left w:val="nil"/>
              <w:bottom w:val="single" w:sz="4" w:space="0" w:color="FFFFFF"/>
              <w:right w:val="single" w:sz="4" w:space="0" w:color="FFFFFF"/>
            </w:tcBorders>
            <w:shd w:val="clear" w:color="auto" w:fill="auto"/>
            <w:noWrap/>
            <w:vAlign w:val="bottom"/>
            <w:hideMark/>
          </w:tcPr>
          <w:p w14:paraId="692BA086"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2.1%</w:t>
            </w:r>
          </w:p>
        </w:tc>
        <w:tc>
          <w:tcPr>
            <w:tcW w:w="478" w:type="pct"/>
            <w:tcBorders>
              <w:top w:val="nil"/>
              <w:left w:val="nil"/>
              <w:bottom w:val="single" w:sz="4" w:space="0" w:color="FFFFFF"/>
              <w:right w:val="single" w:sz="4" w:space="0" w:color="FFFFFF"/>
            </w:tcBorders>
            <w:shd w:val="clear" w:color="auto" w:fill="auto"/>
            <w:noWrap/>
            <w:vAlign w:val="bottom"/>
            <w:hideMark/>
          </w:tcPr>
          <w:p w14:paraId="49BA2AEB"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1.6%</w:t>
            </w:r>
          </w:p>
        </w:tc>
      </w:tr>
      <w:tr w:rsidR="00F638BC" w:rsidRPr="00F638BC" w14:paraId="01135373"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461BE8DC"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37C1290C"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2240" w:type="pct"/>
            <w:tcBorders>
              <w:top w:val="nil"/>
              <w:left w:val="nil"/>
              <w:bottom w:val="single" w:sz="4" w:space="0" w:color="FFFFFF"/>
              <w:right w:val="single" w:sz="4" w:space="0" w:color="FFFFFF"/>
            </w:tcBorders>
            <w:shd w:val="clear" w:color="auto" w:fill="auto"/>
            <w:noWrap/>
            <w:vAlign w:val="bottom"/>
            <w:hideMark/>
          </w:tcPr>
          <w:p w14:paraId="08508522"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Stationary combustion</w:t>
            </w:r>
          </w:p>
        </w:tc>
        <w:tc>
          <w:tcPr>
            <w:tcW w:w="439" w:type="pct"/>
            <w:tcBorders>
              <w:top w:val="nil"/>
              <w:left w:val="nil"/>
              <w:bottom w:val="single" w:sz="4" w:space="0" w:color="FFFFFF"/>
              <w:right w:val="single" w:sz="4" w:space="0" w:color="FFFFFF"/>
            </w:tcBorders>
            <w:shd w:val="clear" w:color="auto" w:fill="auto"/>
            <w:noWrap/>
            <w:vAlign w:val="bottom"/>
            <w:hideMark/>
          </w:tcPr>
          <w:p w14:paraId="14101FAD"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8.5%</w:t>
            </w:r>
          </w:p>
        </w:tc>
        <w:tc>
          <w:tcPr>
            <w:tcW w:w="449" w:type="pct"/>
            <w:tcBorders>
              <w:top w:val="nil"/>
              <w:left w:val="nil"/>
              <w:bottom w:val="single" w:sz="4" w:space="0" w:color="FFFFFF"/>
              <w:right w:val="single" w:sz="4" w:space="0" w:color="FFFFFF"/>
            </w:tcBorders>
            <w:shd w:val="clear" w:color="auto" w:fill="auto"/>
            <w:noWrap/>
            <w:vAlign w:val="bottom"/>
            <w:hideMark/>
          </w:tcPr>
          <w:p w14:paraId="499BFDC6"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8.2%</w:t>
            </w:r>
          </w:p>
        </w:tc>
        <w:tc>
          <w:tcPr>
            <w:tcW w:w="478" w:type="pct"/>
            <w:tcBorders>
              <w:top w:val="nil"/>
              <w:left w:val="nil"/>
              <w:bottom w:val="single" w:sz="4" w:space="0" w:color="FFFFFF"/>
              <w:right w:val="single" w:sz="4" w:space="0" w:color="FFFFFF"/>
            </w:tcBorders>
            <w:shd w:val="clear" w:color="auto" w:fill="auto"/>
            <w:noWrap/>
            <w:vAlign w:val="bottom"/>
            <w:hideMark/>
          </w:tcPr>
          <w:p w14:paraId="00636B2D"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8.5%</w:t>
            </w:r>
          </w:p>
        </w:tc>
      </w:tr>
      <w:tr w:rsidR="00F638BC" w:rsidRPr="00F638BC" w14:paraId="798DF765" w14:textId="77777777" w:rsidTr="00F638BC">
        <w:trPr>
          <w:trHeight w:val="20"/>
        </w:trPr>
        <w:tc>
          <w:tcPr>
            <w:tcW w:w="233" w:type="pct"/>
            <w:tcBorders>
              <w:top w:val="nil"/>
              <w:left w:val="single" w:sz="4" w:space="0" w:color="FFFFFF"/>
              <w:bottom w:val="single" w:sz="12" w:space="0" w:color="FFFFFF"/>
              <w:right w:val="single" w:sz="4" w:space="0" w:color="FFFFFF"/>
            </w:tcBorders>
            <w:shd w:val="clear" w:color="auto" w:fill="auto"/>
            <w:noWrap/>
            <w:vAlign w:val="bottom"/>
            <w:hideMark/>
          </w:tcPr>
          <w:p w14:paraId="5D751BCC"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12" w:space="0" w:color="FFFFFF"/>
              <w:right w:val="single" w:sz="4" w:space="0" w:color="FFFFFF"/>
            </w:tcBorders>
            <w:shd w:val="clear" w:color="auto" w:fill="auto"/>
            <w:noWrap/>
            <w:vAlign w:val="bottom"/>
            <w:hideMark/>
          </w:tcPr>
          <w:p w14:paraId="70B85216"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2240" w:type="pct"/>
            <w:tcBorders>
              <w:top w:val="nil"/>
              <w:left w:val="nil"/>
              <w:bottom w:val="single" w:sz="12" w:space="0" w:color="FFFFFF"/>
              <w:right w:val="single" w:sz="4" w:space="0" w:color="FFFFFF"/>
            </w:tcBorders>
            <w:shd w:val="clear" w:color="auto" w:fill="auto"/>
            <w:noWrap/>
            <w:vAlign w:val="bottom"/>
            <w:hideMark/>
          </w:tcPr>
          <w:p w14:paraId="6A320782"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Fugitive gases</w:t>
            </w:r>
          </w:p>
        </w:tc>
        <w:tc>
          <w:tcPr>
            <w:tcW w:w="439" w:type="pct"/>
            <w:tcBorders>
              <w:top w:val="nil"/>
              <w:left w:val="nil"/>
              <w:bottom w:val="single" w:sz="12" w:space="0" w:color="FFFFFF"/>
              <w:right w:val="single" w:sz="4" w:space="0" w:color="FFFFFF"/>
            </w:tcBorders>
            <w:shd w:val="clear" w:color="auto" w:fill="auto"/>
            <w:noWrap/>
            <w:vAlign w:val="bottom"/>
            <w:hideMark/>
          </w:tcPr>
          <w:p w14:paraId="1C56E743"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3.2%</w:t>
            </w:r>
          </w:p>
        </w:tc>
        <w:tc>
          <w:tcPr>
            <w:tcW w:w="449" w:type="pct"/>
            <w:tcBorders>
              <w:top w:val="nil"/>
              <w:left w:val="nil"/>
              <w:bottom w:val="single" w:sz="12" w:space="0" w:color="FFFFFF"/>
              <w:right w:val="single" w:sz="4" w:space="0" w:color="FFFFFF"/>
            </w:tcBorders>
            <w:shd w:val="clear" w:color="auto" w:fill="auto"/>
            <w:noWrap/>
            <w:vAlign w:val="bottom"/>
            <w:hideMark/>
          </w:tcPr>
          <w:p w14:paraId="4CF2B16F"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4.3%</w:t>
            </w:r>
          </w:p>
        </w:tc>
        <w:tc>
          <w:tcPr>
            <w:tcW w:w="478" w:type="pct"/>
            <w:tcBorders>
              <w:top w:val="nil"/>
              <w:left w:val="nil"/>
              <w:bottom w:val="single" w:sz="12" w:space="0" w:color="FFFFFF"/>
              <w:right w:val="single" w:sz="4" w:space="0" w:color="FFFFFF"/>
            </w:tcBorders>
            <w:shd w:val="clear" w:color="auto" w:fill="auto"/>
            <w:noWrap/>
            <w:vAlign w:val="bottom"/>
            <w:hideMark/>
          </w:tcPr>
          <w:p w14:paraId="158DBCBA"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4.9%</w:t>
            </w:r>
          </w:p>
        </w:tc>
      </w:tr>
      <w:tr w:rsidR="00F638BC" w:rsidRPr="00F638BC" w14:paraId="28C783E9" w14:textId="77777777" w:rsidTr="00F638BC">
        <w:trPr>
          <w:trHeight w:val="20"/>
        </w:trPr>
        <w:tc>
          <w:tcPr>
            <w:tcW w:w="3634" w:type="pct"/>
            <w:gridSpan w:val="3"/>
            <w:tcBorders>
              <w:top w:val="single" w:sz="12" w:space="0" w:color="FFFFFF"/>
              <w:left w:val="single" w:sz="4" w:space="0" w:color="FFFFFF"/>
              <w:bottom w:val="single" w:sz="12" w:space="0" w:color="FFFFFF"/>
              <w:right w:val="nil"/>
            </w:tcBorders>
            <w:shd w:val="clear" w:color="000000" w:fill="CD7E3E"/>
            <w:noWrap/>
            <w:vAlign w:val="bottom"/>
            <w:hideMark/>
          </w:tcPr>
          <w:p w14:paraId="5658D700" w14:textId="77777777" w:rsidR="00F638BC" w:rsidRPr="00F638BC" w:rsidRDefault="00F638BC" w:rsidP="00F638BC">
            <w:pPr>
              <w:spacing w:before="0" w:after="0" w:line="240" w:lineRule="auto"/>
              <w:ind w:firstLineChars="100" w:firstLine="180"/>
              <w:contextualSpacing/>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Transportation and Other Mobile Sources</w:t>
            </w:r>
          </w:p>
        </w:tc>
        <w:tc>
          <w:tcPr>
            <w:tcW w:w="439" w:type="pct"/>
            <w:tcBorders>
              <w:top w:val="nil"/>
              <w:left w:val="nil"/>
              <w:bottom w:val="single" w:sz="12" w:space="0" w:color="FFFFFF"/>
              <w:right w:val="nil"/>
            </w:tcBorders>
            <w:shd w:val="clear" w:color="000000" w:fill="CD7E3E"/>
            <w:noWrap/>
            <w:vAlign w:val="bottom"/>
            <w:hideMark/>
          </w:tcPr>
          <w:p w14:paraId="293CF7D6" w14:textId="77777777" w:rsidR="00F638BC" w:rsidRPr="00F638BC" w:rsidRDefault="00F638BC" w:rsidP="00F638BC">
            <w:pPr>
              <w:spacing w:before="0" w:after="0" w:line="240" w:lineRule="auto"/>
              <w:contextualSpacing/>
              <w:jc w:val="right"/>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36.3%</w:t>
            </w:r>
          </w:p>
        </w:tc>
        <w:tc>
          <w:tcPr>
            <w:tcW w:w="449" w:type="pct"/>
            <w:tcBorders>
              <w:top w:val="nil"/>
              <w:left w:val="nil"/>
              <w:bottom w:val="single" w:sz="12" w:space="0" w:color="FFFFFF"/>
              <w:right w:val="nil"/>
            </w:tcBorders>
            <w:shd w:val="clear" w:color="000000" w:fill="CD7E3E"/>
            <w:noWrap/>
            <w:vAlign w:val="bottom"/>
            <w:hideMark/>
          </w:tcPr>
          <w:p w14:paraId="22FCA89B" w14:textId="77777777" w:rsidR="00F638BC" w:rsidRPr="00F638BC" w:rsidRDefault="00F638BC" w:rsidP="00F638BC">
            <w:pPr>
              <w:spacing w:before="0" w:after="0" w:line="240" w:lineRule="auto"/>
              <w:contextualSpacing/>
              <w:jc w:val="right"/>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35.0%</w:t>
            </w:r>
          </w:p>
        </w:tc>
        <w:tc>
          <w:tcPr>
            <w:tcW w:w="478" w:type="pct"/>
            <w:tcBorders>
              <w:top w:val="nil"/>
              <w:left w:val="nil"/>
              <w:bottom w:val="single" w:sz="12" w:space="0" w:color="FFFFFF"/>
              <w:right w:val="nil"/>
            </w:tcBorders>
            <w:shd w:val="clear" w:color="000000" w:fill="CD7E3E"/>
            <w:noWrap/>
            <w:vAlign w:val="bottom"/>
            <w:hideMark/>
          </w:tcPr>
          <w:p w14:paraId="51DD104F" w14:textId="77777777" w:rsidR="00F638BC" w:rsidRPr="00F638BC" w:rsidRDefault="00F638BC" w:rsidP="00F638BC">
            <w:pPr>
              <w:spacing w:before="0" w:after="0" w:line="240" w:lineRule="auto"/>
              <w:contextualSpacing/>
              <w:jc w:val="right"/>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34.6%</w:t>
            </w:r>
          </w:p>
        </w:tc>
      </w:tr>
      <w:tr w:rsidR="00F638BC" w:rsidRPr="00F638BC" w14:paraId="53B9B444"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091C59FD" w14:textId="77777777" w:rsidR="00F638BC" w:rsidRPr="00F638BC" w:rsidRDefault="00F638BC" w:rsidP="00F638BC">
            <w:pPr>
              <w:spacing w:before="0" w:after="0" w:line="240" w:lineRule="auto"/>
              <w:ind w:firstLineChars="100" w:firstLine="180"/>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1FB4F84F" w14:textId="77777777" w:rsidR="00F638BC" w:rsidRPr="00F638BC" w:rsidRDefault="00F638BC" w:rsidP="00F638BC">
            <w:pPr>
              <w:spacing w:before="0" w:after="0" w:line="240" w:lineRule="auto"/>
              <w:contextualSpacing/>
              <w:rPr>
                <w:rFonts w:ascii="Calibri" w:eastAsia="Times New Roman" w:hAnsi="Calibri" w:cs="Calibri"/>
                <w:b/>
                <w:bCs/>
                <w:sz w:val="18"/>
                <w:szCs w:val="18"/>
              </w:rPr>
            </w:pPr>
            <w:r w:rsidRPr="00F638BC">
              <w:rPr>
                <w:rFonts w:ascii="Calibri" w:eastAsia="Times New Roman" w:hAnsi="Calibri" w:cs="Calibri"/>
                <w:b/>
                <w:bCs/>
                <w:sz w:val="18"/>
                <w:szCs w:val="18"/>
              </w:rPr>
              <w:t>On-road vehicles</w:t>
            </w:r>
          </w:p>
        </w:tc>
        <w:tc>
          <w:tcPr>
            <w:tcW w:w="2240" w:type="pct"/>
            <w:tcBorders>
              <w:top w:val="nil"/>
              <w:left w:val="nil"/>
              <w:bottom w:val="single" w:sz="4" w:space="0" w:color="FFFFFF"/>
              <w:right w:val="single" w:sz="4" w:space="0" w:color="FFFFFF"/>
            </w:tcBorders>
            <w:shd w:val="clear" w:color="auto" w:fill="auto"/>
            <w:noWrap/>
            <w:vAlign w:val="bottom"/>
            <w:hideMark/>
          </w:tcPr>
          <w:p w14:paraId="7CA6A76B"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439" w:type="pct"/>
            <w:tcBorders>
              <w:top w:val="nil"/>
              <w:left w:val="nil"/>
              <w:bottom w:val="single" w:sz="4" w:space="0" w:color="FFFFFF"/>
              <w:right w:val="single" w:sz="4" w:space="0" w:color="FFFFFF"/>
            </w:tcBorders>
            <w:shd w:val="clear" w:color="auto" w:fill="auto"/>
            <w:noWrap/>
            <w:vAlign w:val="bottom"/>
            <w:hideMark/>
          </w:tcPr>
          <w:p w14:paraId="2071A0F8"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32.1%</w:t>
            </w:r>
          </w:p>
        </w:tc>
        <w:tc>
          <w:tcPr>
            <w:tcW w:w="449" w:type="pct"/>
            <w:tcBorders>
              <w:top w:val="nil"/>
              <w:left w:val="nil"/>
              <w:bottom w:val="single" w:sz="4" w:space="0" w:color="FFFFFF"/>
              <w:right w:val="single" w:sz="4" w:space="0" w:color="FFFFFF"/>
            </w:tcBorders>
            <w:shd w:val="clear" w:color="auto" w:fill="auto"/>
            <w:noWrap/>
            <w:vAlign w:val="bottom"/>
            <w:hideMark/>
          </w:tcPr>
          <w:p w14:paraId="42390F8D"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30.7%</w:t>
            </w:r>
          </w:p>
        </w:tc>
        <w:tc>
          <w:tcPr>
            <w:tcW w:w="478" w:type="pct"/>
            <w:tcBorders>
              <w:top w:val="nil"/>
              <w:left w:val="nil"/>
              <w:bottom w:val="single" w:sz="4" w:space="0" w:color="FFFFFF"/>
              <w:right w:val="single" w:sz="4" w:space="0" w:color="FFFFFF"/>
            </w:tcBorders>
            <w:shd w:val="clear" w:color="auto" w:fill="auto"/>
            <w:noWrap/>
            <w:vAlign w:val="bottom"/>
            <w:hideMark/>
          </w:tcPr>
          <w:p w14:paraId="22167CAD"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29.7%</w:t>
            </w:r>
          </w:p>
        </w:tc>
      </w:tr>
      <w:tr w:rsidR="00F638BC" w:rsidRPr="00F638BC" w14:paraId="756BD055"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1645701E"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00EAF975" w14:textId="77777777" w:rsidR="00F638BC" w:rsidRPr="00F638BC" w:rsidRDefault="00F638BC" w:rsidP="00F638BC">
            <w:pPr>
              <w:spacing w:before="0" w:after="0" w:line="240" w:lineRule="auto"/>
              <w:contextualSpacing/>
              <w:rPr>
                <w:rFonts w:ascii="Calibri" w:eastAsia="Times New Roman" w:hAnsi="Calibri" w:cs="Calibri"/>
                <w:b/>
                <w:bCs/>
                <w:sz w:val="18"/>
                <w:szCs w:val="18"/>
              </w:rPr>
            </w:pPr>
            <w:r w:rsidRPr="00F638BC">
              <w:rPr>
                <w:rFonts w:ascii="Calibri" w:eastAsia="Times New Roman" w:hAnsi="Calibri" w:cs="Calibri"/>
                <w:b/>
                <w:bCs/>
                <w:sz w:val="18"/>
                <w:szCs w:val="18"/>
              </w:rPr>
              <w:t> </w:t>
            </w:r>
          </w:p>
        </w:tc>
        <w:tc>
          <w:tcPr>
            <w:tcW w:w="2240" w:type="pct"/>
            <w:tcBorders>
              <w:top w:val="nil"/>
              <w:left w:val="nil"/>
              <w:bottom w:val="single" w:sz="4" w:space="0" w:color="FFFFFF"/>
              <w:right w:val="single" w:sz="4" w:space="0" w:color="FFFFFF"/>
            </w:tcBorders>
            <w:shd w:val="clear" w:color="auto" w:fill="auto"/>
            <w:noWrap/>
            <w:vAlign w:val="bottom"/>
            <w:hideMark/>
          </w:tcPr>
          <w:p w14:paraId="5170A6B7"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Passenger vehicles</w:t>
            </w:r>
          </w:p>
        </w:tc>
        <w:tc>
          <w:tcPr>
            <w:tcW w:w="439" w:type="pct"/>
            <w:tcBorders>
              <w:top w:val="nil"/>
              <w:left w:val="nil"/>
              <w:bottom w:val="single" w:sz="4" w:space="0" w:color="FFFFFF"/>
              <w:right w:val="single" w:sz="4" w:space="0" w:color="FFFFFF"/>
            </w:tcBorders>
            <w:shd w:val="clear" w:color="auto" w:fill="auto"/>
            <w:noWrap/>
            <w:vAlign w:val="bottom"/>
            <w:hideMark/>
          </w:tcPr>
          <w:p w14:paraId="69B89092"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26.1%</w:t>
            </w:r>
          </w:p>
        </w:tc>
        <w:tc>
          <w:tcPr>
            <w:tcW w:w="449" w:type="pct"/>
            <w:tcBorders>
              <w:top w:val="nil"/>
              <w:left w:val="nil"/>
              <w:bottom w:val="single" w:sz="4" w:space="0" w:color="FFFFFF"/>
              <w:right w:val="single" w:sz="4" w:space="0" w:color="FFFFFF"/>
            </w:tcBorders>
            <w:shd w:val="clear" w:color="auto" w:fill="auto"/>
            <w:noWrap/>
            <w:vAlign w:val="bottom"/>
            <w:hideMark/>
          </w:tcPr>
          <w:p w14:paraId="688F3164"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25.2%</w:t>
            </w:r>
          </w:p>
        </w:tc>
        <w:tc>
          <w:tcPr>
            <w:tcW w:w="478" w:type="pct"/>
            <w:tcBorders>
              <w:top w:val="nil"/>
              <w:left w:val="nil"/>
              <w:bottom w:val="single" w:sz="4" w:space="0" w:color="FFFFFF"/>
              <w:right w:val="single" w:sz="4" w:space="0" w:color="FFFFFF"/>
            </w:tcBorders>
            <w:shd w:val="clear" w:color="auto" w:fill="auto"/>
            <w:noWrap/>
            <w:vAlign w:val="bottom"/>
            <w:hideMark/>
          </w:tcPr>
          <w:p w14:paraId="5866A8EF"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24.0%</w:t>
            </w:r>
          </w:p>
        </w:tc>
      </w:tr>
      <w:tr w:rsidR="00F638BC" w:rsidRPr="00F638BC" w14:paraId="73F44EB6"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44244237"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3E0D2334" w14:textId="77777777" w:rsidR="00F638BC" w:rsidRPr="00F638BC" w:rsidRDefault="00F638BC" w:rsidP="00F638BC">
            <w:pPr>
              <w:spacing w:before="0" w:after="0" w:line="240" w:lineRule="auto"/>
              <w:contextualSpacing/>
              <w:rPr>
                <w:rFonts w:ascii="Calibri" w:eastAsia="Times New Roman" w:hAnsi="Calibri" w:cs="Calibri"/>
                <w:b/>
                <w:bCs/>
                <w:sz w:val="18"/>
                <w:szCs w:val="18"/>
              </w:rPr>
            </w:pPr>
            <w:r w:rsidRPr="00F638BC">
              <w:rPr>
                <w:rFonts w:ascii="Calibri" w:eastAsia="Times New Roman" w:hAnsi="Calibri" w:cs="Calibri"/>
                <w:b/>
                <w:bCs/>
                <w:sz w:val="18"/>
                <w:szCs w:val="18"/>
              </w:rPr>
              <w:t> </w:t>
            </w:r>
          </w:p>
        </w:tc>
        <w:tc>
          <w:tcPr>
            <w:tcW w:w="2240" w:type="pct"/>
            <w:tcBorders>
              <w:top w:val="nil"/>
              <w:left w:val="nil"/>
              <w:bottom w:val="single" w:sz="4" w:space="0" w:color="FFFFFF"/>
              <w:right w:val="single" w:sz="4" w:space="0" w:color="FFFFFF"/>
            </w:tcBorders>
            <w:shd w:val="clear" w:color="auto" w:fill="auto"/>
            <w:noWrap/>
            <w:vAlign w:val="bottom"/>
            <w:hideMark/>
          </w:tcPr>
          <w:p w14:paraId="190C58F6"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Freight and service vehicles</w:t>
            </w:r>
          </w:p>
        </w:tc>
        <w:tc>
          <w:tcPr>
            <w:tcW w:w="439" w:type="pct"/>
            <w:tcBorders>
              <w:top w:val="nil"/>
              <w:left w:val="nil"/>
              <w:bottom w:val="single" w:sz="4" w:space="0" w:color="FFFFFF"/>
              <w:right w:val="single" w:sz="4" w:space="0" w:color="FFFFFF"/>
            </w:tcBorders>
            <w:shd w:val="clear" w:color="auto" w:fill="auto"/>
            <w:noWrap/>
            <w:vAlign w:val="bottom"/>
            <w:hideMark/>
          </w:tcPr>
          <w:p w14:paraId="09BD8B65"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5.3%</w:t>
            </w:r>
          </w:p>
        </w:tc>
        <w:tc>
          <w:tcPr>
            <w:tcW w:w="449" w:type="pct"/>
            <w:tcBorders>
              <w:top w:val="nil"/>
              <w:left w:val="nil"/>
              <w:bottom w:val="single" w:sz="4" w:space="0" w:color="FFFFFF"/>
              <w:right w:val="single" w:sz="4" w:space="0" w:color="FFFFFF"/>
            </w:tcBorders>
            <w:shd w:val="clear" w:color="auto" w:fill="auto"/>
            <w:noWrap/>
            <w:vAlign w:val="bottom"/>
            <w:hideMark/>
          </w:tcPr>
          <w:p w14:paraId="479953BE"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4.9%</w:t>
            </w:r>
          </w:p>
        </w:tc>
        <w:tc>
          <w:tcPr>
            <w:tcW w:w="478" w:type="pct"/>
            <w:tcBorders>
              <w:top w:val="nil"/>
              <w:left w:val="nil"/>
              <w:bottom w:val="single" w:sz="4" w:space="0" w:color="FFFFFF"/>
              <w:right w:val="single" w:sz="4" w:space="0" w:color="FFFFFF"/>
            </w:tcBorders>
            <w:shd w:val="clear" w:color="auto" w:fill="auto"/>
            <w:noWrap/>
            <w:vAlign w:val="bottom"/>
            <w:hideMark/>
          </w:tcPr>
          <w:p w14:paraId="602E86C0"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4.9%</w:t>
            </w:r>
          </w:p>
        </w:tc>
      </w:tr>
      <w:tr w:rsidR="00F638BC" w:rsidRPr="00F638BC" w14:paraId="705E5FE9"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7E7C8995"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0AB727DF" w14:textId="77777777" w:rsidR="00F638BC" w:rsidRPr="00F638BC" w:rsidRDefault="00F638BC" w:rsidP="00F638BC">
            <w:pPr>
              <w:spacing w:before="0" w:after="0" w:line="240" w:lineRule="auto"/>
              <w:contextualSpacing/>
              <w:rPr>
                <w:rFonts w:ascii="Calibri" w:eastAsia="Times New Roman" w:hAnsi="Calibri" w:cs="Calibri"/>
                <w:b/>
                <w:bCs/>
                <w:sz w:val="18"/>
                <w:szCs w:val="18"/>
              </w:rPr>
            </w:pPr>
            <w:r w:rsidRPr="00F638BC">
              <w:rPr>
                <w:rFonts w:ascii="Calibri" w:eastAsia="Times New Roman" w:hAnsi="Calibri" w:cs="Calibri"/>
                <w:b/>
                <w:bCs/>
                <w:sz w:val="18"/>
                <w:szCs w:val="18"/>
              </w:rPr>
              <w:t> </w:t>
            </w:r>
          </w:p>
        </w:tc>
        <w:tc>
          <w:tcPr>
            <w:tcW w:w="2240" w:type="pct"/>
            <w:tcBorders>
              <w:top w:val="nil"/>
              <w:left w:val="nil"/>
              <w:bottom w:val="single" w:sz="4" w:space="0" w:color="FFFFFF"/>
              <w:right w:val="single" w:sz="4" w:space="0" w:color="FFFFFF"/>
            </w:tcBorders>
            <w:shd w:val="clear" w:color="auto" w:fill="auto"/>
            <w:noWrap/>
            <w:vAlign w:val="bottom"/>
            <w:hideMark/>
          </w:tcPr>
          <w:p w14:paraId="2F814A8A"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Transit vehicles</w:t>
            </w:r>
          </w:p>
        </w:tc>
        <w:tc>
          <w:tcPr>
            <w:tcW w:w="439" w:type="pct"/>
            <w:tcBorders>
              <w:top w:val="nil"/>
              <w:left w:val="nil"/>
              <w:bottom w:val="single" w:sz="4" w:space="0" w:color="FFFFFF"/>
              <w:right w:val="single" w:sz="4" w:space="0" w:color="FFFFFF"/>
            </w:tcBorders>
            <w:shd w:val="clear" w:color="auto" w:fill="auto"/>
            <w:noWrap/>
            <w:vAlign w:val="bottom"/>
            <w:hideMark/>
          </w:tcPr>
          <w:p w14:paraId="0E155046"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0.7%</w:t>
            </w:r>
          </w:p>
        </w:tc>
        <w:tc>
          <w:tcPr>
            <w:tcW w:w="449" w:type="pct"/>
            <w:tcBorders>
              <w:top w:val="nil"/>
              <w:left w:val="nil"/>
              <w:bottom w:val="single" w:sz="4" w:space="0" w:color="FFFFFF"/>
              <w:right w:val="single" w:sz="4" w:space="0" w:color="FFFFFF"/>
            </w:tcBorders>
            <w:shd w:val="clear" w:color="auto" w:fill="auto"/>
            <w:noWrap/>
            <w:vAlign w:val="bottom"/>
            <w:hideMark/>
          </w:tcPr>
          <w:p w14:paraId="62B5537C"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0.6%</w:t>
            </w:r>
          </w:p>
        </w:tc>
        <w:tc>
          <w:tcPr>
            <w:tcW w:w="478" w:type="pct"/>
            <w:tcBorders>
              <w:top w:val="nil"/>
              <w:left w:val="nil"/>
              <w:bottom w:val="single" w:sz="4" w:space="0" w:color="FFFFFF"/>
              <w:right w:val="single" w:sz="4" w:space="0" w:color="FFFFFF"/>
            </w:tcBorders>
            <w:shd w:val="clear" w:color="auto" w:fill="auto"/>
            <w:noWrap/>
            <w:vAlign w:val="bottom"/>
            <w:hideMark/>
          </w:tcPr>
          <w:p w14:paraId="6150B5E1"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0.7%</w:t>
            </w:r>
          </w:p>
        </w:tc>
      </w:tr>
      <w:tr w:rsidR="00F638BC" w:rsidRPr="00F638BC" w14:paraId="62AFB33A"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6F92726A"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603C479D" w14:textId="77777777" w:rsidR="00F638BC" w:rsidRPr="00F638BC" w:rsidRDefault="00F638BC" w:rsidP="00F638BC">
            <w:pPr>
              <w:spacing w:before="0" w:after="0" w:line="240" w:lineRule="auto"/>
              <w:contextualSpacing/>
              <w:rPr>
                <w:rFonts w:ascii="Calibri" w:eastAsia="Times New Roman" w:hAnsi="Calibri" w:cs="Calibri"/>
                <w:b/>
                <w:bCs/>
                <w:sz w:val="18"/>
                <w:szCs w:val="18"/>
              </w:rPr>
            </w:pPr>
            <w:r w:rsidRPr="00F638BC">
              <w:rPr>
                <w:rFonts w:ascii="Calibri" w:eastAsia="Times New Roman" w:hAnsi="Calibri" w:cs="Calibri"/>
                <w:b/>
                <w:bCs/>
                <w:sz w:val="18"/>
                <w:szCs w:val="18"/>
              </w:rPr>
              <w:t>Freight and passenger rail</w:t>
            </w:r>
          </w:p>
        </w:tc>
        <w:tc>
          <w:tcPr>
            <w:tcW w:w="2240" w:type="pct"/>
            <w:tcBorders>
              <w:top w:val="nil"/>
              <w:left w:val="nil"/>
              <w:bottom w:val="single" w:sz="4" w:space="0" w:color="FFFFFF"/>
              <w:right w:val="single" w:sz="4" w:space="0" w:color="FFFFFF"/>
            </w:tcBorders>
            <w:shd w:val="clear" w:color="auto" w:fill="auto"/>
            <w:noWrap/>
            <w:vAlign w:val="bottom"/>
            <w:hideMark/>
          </w:tcPr>
          <w:p w14:paraId="03943CAA" w14:textId="77777777" w:rsidR="00F638BC" w:rsidRPr="00F638BC" w:rsidRDefault="00F638BC" w:rsidP="00F638BC">
            <w:pPr>
              <w:spacing w:before="0" w:after="0" w:line="240" w:lineRule="auto"/>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439" w:type="pct"/>
            <w:tcBorders>
              <w:top w:val="nil"/>
              <w:left w:val="nil"/>
              <w:bottom w:val="single" w:sz="4" w:space="0" w:color="FFFFFF"/>
              <w:right w:val="single" w:sz="4" w:space="0" w:color="FFFFFF"/>
            </w:tcBorders>
            <w:shd w:val="clear" w:color="auto" w:fill="auto"/>
            <w:noWrap/>
            <w:vAlign w:val="bottom"/>
            <w:hideMark/>
          </w:tcPr>
          <w:p w14:paraId="68E7E513"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0.3%</w:t>
            </w:r>
          </w:p>
        </w:tc>
        <w:tc>
          <w:tcPr>
            <w:tcW w:w="449" w:type="pct"/>
            <w:tcBorders>
              <w:top w:val="nil"/>
              <w:left w:val="nil"/>
              <w:bottom w:val="single" w:sz="4" w:space="0" w:color="FFFFFF"/>
              <w:right w:val="single" w:sz="4" w:space="0" w:color="FFFFFF"/>
            </w:tcBorders>
            <w:shd w:val="clear" w:color="auto" w:fill="auto"/>
            <w:noWrap/>
            <w:vAlign w:val="bottom"/>
            <w:hideMark/>
          </w:tcPr>
          <w:p w14:paraId="234C0742"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0.4%</w:t>
            </w:r>
          </w:p>
        </w:tc>
        <w:tc>
          <w:tcPr>
            <w:tcW w:w="478" w:type="pct"/>
            <w:tcBorders>
              <w:top w:val="nil"/>
              <w:left w:val="nil"/>
              <w:bottom w:val="single" w:sz="4" w:space="0" w:color="FFFFFF"/>
              <w:right w:val="single" w:sz="4" w:space="0" w:color="FFFFFF"/>
            </w:tcBorders>
            <w:shd w:val="clear" w:color="auto" w:fill="auto"/>
            <w:noWrap/>
            <w:vAlign w:val="bottom"/>
            <w:hideMark/>
          </w:tcPr>
          <w:p w14:paraId="36BF4465"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0.4%</w:t>
            </w:r>
          </w:p>
        </w:tc>
      </w:tr>
      <w:tr w:rsidR="00F638BC" w:rsidRPr="00F638BC" w14:paraId="4407F1DE"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097B9E6D"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667973B8" w14:textId="77777777" w:rsidR="00F638BC" w:rsidRPr="00F638BC" w:rsidRDefault="00F638BC" w:rsidP="00F638BC">
            <w:pPr>
              <w:spacing w:before="0" w:after="0" w:line="240" w:lineRule="auto"/>
              <w:contextualSpacing/>
              <w:rPr>
                <w:rFonts w:ascii="Calibri" w:eastAsia="Times New Roman" w:hAnsi="Calibri" w:cs="Calibri"/>
                <w:b/>
                <w:bCs/>
                <w:color w:val="000000"/>
                <w:sz w:val="18"/>
                <w:szCs w:val="18"/>
              </w:rPr>
            </w:pPr>
            <w:r w:rsidRPr="00F638BC">
              <w:rPr>
                <w:rFonts w:ascii="Calibri" w:eastAsia="Times New Roman" w:hAnsi="Calibri" w:cs="Calibri"/>
                <w:b/>
                <w:bCs/>
                <w:color w:val="000000"/>
                <w:sz w:val="18"/>
                <w:szCs w:val="18"/>
              </w:rPr>
              <w:t>Marine vessels</w:t>
            </w:r>
          </w:p>
        </w:tc>
        <w:tc>
          <w:tcPr>
            <w:tcW w:w="2240" w:type="pct"/>
            <w:tcBorders>
              <w:top w:val="nil"/>
              <w:left w:val="nil"/>
              <w:bottom w:val="single" w:sz="4" w:space="0" w:color="FFFFFF"/>
              <w:right w:val="single" w:sz="4" w:space="0" w:color="FFFFFF"/>
            </w:tcBorders>
            <w:shd w:val="clear" w:color="auto" w:fill="auto"/>
            <w:noWrap/>
            <w:vAlign w:val="bottom"/>
            <w:hideMark/>
          </w:tcPr>
          <w:p w14:paraId="5C59358E" w14:textId="77777777" w:rsidR="00F638BC" w:rsidRPr="00F638BC" w:rsidRDefault="00F638BC" w:rsidP="00F638BC">
            <w:pPr>
              <w:spacing w:before="0" w:after="0" w:line="240" w:lineRule="auto"/>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439" w:type="pct"/>
            <w:tcBorders>
              <w:top w:val="nil"/>
              <w:left w:val="nil"/>
              <w:bottom w:val="single" w:sz="4" w:space="0" w:color="FFFFFF"/>
              <w:right w:val="single" w:sz="4" w:space="0" w:color="FFFFFF"/>
            </w:tcBorders>
            <w:shd w:val="clear" w:color="auto" w:fill="auto"/>
            <w:noWrap/>
            <w:vAlign w:val="bottom"/>
            <w:hideMark/>
          </w:tcPr>
          <w:p w14:paraId="65686F03"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0.7%</w:t>
            </w:r>
          </w:p>
        </w:tc>
        <w:tc>
          <w:tcPr>
            <w:tcW w:w="449" w:type="pct"/>
            <w:tcBorders>
              <w:top w:val="nil"/>
              <w:left w:val="nil"/>
              <w:bottom w:val="single" w:sz="4" w:space="0" w:color="FFFFFF"/>
              <w:right w:val="single" w:sz="4" w:space="0" w:color="FFFFFF"/>
            </w:tcBorders>
            <w:shd w:val="clear" w:color="auto" w:fill="auto"/>
            <w:noWrap/>
            <w:vAlign w:val="bottom"/>
            <w:hideMark/>
          </w:tcPr>
          <w:p w14:paraId="7277AB8A"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0.7%</w:t>
            </w:r>
          </w:p>
        </w:tc>
        <w:tc>
          <w:tcPr>
            <w:tcW w:w="478" w:type="pct"/>
            <w:tcBorders>
              <w:top w:val="nil"/>
              <w:left w:val="nil"/>
              <w:bottom w:val="single" w:sz="4" w:space="0" w:color="FFFFFF"/>
              <w:right w:val="single" w:sz="4" w:space="0" w:color="FFFFFF"/>
            </w:tcBorders>
            <w:shd w:val="clear" w:color="auto" w:fill="auto"/>
            <w:noWrap/>
            <w:vAlign w:val="bottom"/>
            <w:hideMark/>
          </w:tcPr>
          <w:p w14:paraId="73FCCB16"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0.9%</w:t>
            </w:r>
          </w:p>
        </w:tc>
      </w:tr>
      <w:tr w:rsidR="00F638BC" w:rsidRPr="00F638BC" w14:paraId="68BC46EE" w14:textId="77777777" w:rsidTr="00F638BC">
        <w:trPr>
          <w:trHeight w:val="20"/>
        </w:trPr>
        <w:tc>
          <w:tcPr>
            <w:tcW w:w="233" w:type="pct"/>
            <w:tcBorders>
              <w:top w:val="nil"/>
              <w:left w:val="single" w:sz="4" w:space="0" w:color="FFFFFF"/>
              <w:bottom w:val="single" w:sz="12" w:space="0" w:color="FFFFFF"/>
              <w:right w:val="single" w:sz="4" w:space="0" w:color="FFFFFF"/>
            </w:tcBorders>
            <w:shd w:val="clear" w:color="auto" w:fill="auto"/>
            <w:noWrap/>
            <w:vAlign w:val="bottom"/>
            <w:hideMark/>
          </w:tcPr>
          <w:p w14:paraId="7FD6BA9F"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12" w:space="0" w:color="FFFFFF"/>
              <w:right w:val="single" w:sz="4" w:space="0" w:color="FFFFFF"/>
            </w:tcBorders>
            <w:shd w:val="clear" w:color="auto" w:fill="auto"/>
            <w:noWrap/>
            <w:vAlign w:val="bottom"/>
            <w:hideMark/>
          </w:tcPr>
          <w:p w14:paraId="6BC251F5" w14:textId="77777777" w:rsidR="00F638BC" w:rsidRPr="00F638BC" w:rsidRDefault="00F638BC" w:rsidP="00F638BC">
            <w:pPr>
              <w:spacing w:before="0" w:after="0" w:line="240" w:lineRule="auto"/>
              <w:contextualSpacing/>
              <w:rPr>
                <w:rFonts w:ascii="Calibri" w:eastAsia="Times New Roman" w:hAnsi="Calibri" w:cs="Calibri"/>
                <w:b/>
                <w:bCs/>
                <w:color w:val="000000"/>
                <w:sz w:val="18"/>
                <w:szCs w:val="18"/>
              </w:rPr>
            </w:pPr>
            <w:r w:rsidRPr="00F638BC">
              <w:rPr>
                <w:rFonts w:ascii="Calibri" w:eastAsia="Times New Roman" w:hAnsi="Calibri" w:cs="Calibri"/>
                <w:b/>
                <w:bCs/>
                <w:color w:val="000000"/>
                <w:sz w:val="18"/>
                <w:szCs w:val="18"/>
              </w:rPr>
              <w:t>Off-road vehicles and other mobile equipment</w:t>
            </w:r>
          </w:p>
        </w:tc>
        <w:tc>
          <w:tcPr>
            <w:tcW w:w="2240" w:type="pct"/>
            <w:tcBorders>
              <w:top w:val="nil"/>
              <w:left w:val="nil"/>
              <w:bottom w:val="single" w:sz="12" w:space="0" w:color="FFFFFF"/>
              <w:right w:val="single" w:sz="4" w:space="0" w:color="FFFFFF"/>
            </w:tcBorders>
            <w:shd w:val="clear" w:color="auto" w:fill="auto"/>
            <w:noWrap/>
            <w:vAlign w:val="bottom"/>
            <w:hideMark/>
          </w:tcPr>
          <w:p w14:paraId="18CF08EF" w14:textId="77777777" w:rsidR="00F638BC" w:rsidRPr="00F638BC" w:rsidRDefault="00F638BC" w:rsidP="00F638BC">
            <w:pPr>
              <w:spacing w:before="0" w:after="0" w:line="240" w:lineRule="auto"/>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439" w:type="pct"/>
            <w:tcBorders>
              <w:top w:val="nil"/>
              <w:left w:val="nil"/>
              <w:bottom w:val="single" w:sz="12" w:space="0" w:color="FFFFFF"/>
              <w:right w:val="single" w:sz="4" w:space="0" w:color="FFFFFF"/>
            </w:tcBorders>
            <w:shd w:val="clear" w:color="auto" w:fill="auto"/>
            <w:noWrap/>
            <w:vAlign w:val="bottom"/>
            <w:hideMark/>
          </w:tcPr>
          <w:p w14:paraId="59968613"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0.5%</w:t>
            </w:r>
          </w:p>
        </w:tc>
        <w:tc>
          <w:tcPr>
            <w:tcW w:w="449" w:type="pct"/>
            <w:tcBorders>
              <w:top w:val="nil"/>
              <w:left w:val="nil"/>
              <w:bottom w:val="single" w:sz="12" w:space="0" w:color="FFFFFF"/>
              <w:right w:val="single" w:sz="4" w:space="0" w:color="FFFFFF"/>
            </w:tcBorders>
            <w:shd w:val="clear" w:color="auto" w:fill="auto"/>
            <w:noWrap/>
            <w:vAlign w:val="bottom"/>
            <w:hideMark/>
          </w:tcPr>
          <w:p w14:paraId="7EA26B27"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0.5%</w:t>
            </w:r>
          </w:p>
        </w:tc>
        <w:tc>
          <w:tcPr>
            <w:tcW w:w="478" w:type="pct"/>
            <w:tcBorders>
              <w:top w:val="nil"/>
              <w:left w:val="nil"/>
              <w:bottom w:val="single" w:sz="12" w:space="0" w:color="FFFFFF"/>
              <w:right w:val="single" w:sz="4" w:space="0" w:color="FFFFFF"/>
            </w:tcBorders>
            <w:shd w:val="clear" w:color="auto" w:fill="auto"/>
            <w:noWrap/>
            <w:vAlign w:val="bottom"/>
            <w:hideMark/>
          </w:tcPr>
          <w:p w14:paraId="37F5B8B8"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0.6%</w:t>
            </w:r>
          </w:p>
        </w:tc>
      </w:tr>
      <w:tr w:rsidR="00F638BC" w:rsidRPr="00F638BC" w14:paraId="34EA1475" w14:textId="77777777" w:rsidTr="00F638BC">
        <w:trPr>
          <w:trHeight w:val="20"/>
        </w:trPr>
        <w:tc>
          <w:tcPr>
            <w:tcW w:w="233" w:type="pct"/>
            <w:tcBorders>
              <w:top w:val="single" w:sz="4" w:space="0" w:color="FFFFFF"/>
              <w:left w:val="single" w:sz="4" w:space="0" w:color="FFFFFF"/>
              <w:bottom w:val="single" w:sz="12" w:space="0" w:color="FFFFFF"/>
              <w:right w:val="single" w:sz="4" w:space="0" w:color="FFFFFF"/>
            </w:tcBorders>
            <w:shd w:val="clear" w:color="auto" w:fill="auto"/>
            <w:noWrap/>
            <w:vAlign w:val="bottom"/>
            <w:hideMark/>
          </w:tcPr>
          <w:p w14:paraId="19F9FB5E"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single" w:sz="4" w:space="0" w:color="FFFFFF"/>
              <w:left w:val="nil"/>
              <w:bottom w:val="single" w:sz="12" w:space="0" w:color="FFFFFF"/>
              <w:right w:val="single" w:sz="4" w:space="0" w:color="FFFFFF"/>
            </w:tcBorders>
            <w:shd w:val="clear" w:color="auto" w:fill="auto"/>
            <w:noWrap/>
            <w:vAlign w:val="bottom"/>
            <w:hideMark/>
          </w:tcPr>
          <w:p w14:paraId="262D15FF" w14:textId="77777777" w:rsidR="00F638BC" w:rsidRPr="00F638BC" w:rsidRDefault="00F638BC" w:rsidP="00F638BC">
            <w:pPr>
              <w:spacing w:before="0" w:after="0" w:line="240" w:lineRule="auto"/>
              <w:contextualSpacing/>
              <w:rPr>
                <w:rFonts w:ascii="Calibri" w:eastAsia="Times New Roman" w:hAnsi="Calibri" w:cs="Calibri"/>
                <w:b/>
                <w:bCs/>
                <w:color w:val="000000"/>
                <w:sz w:val="18"/>
                <w:szCs w:val="18"/>
              </w:rPr>
            </w:pPr>
            <w:r w:rsidRPr="00F638BC">
              <w:rPr>
                <w:rFonts w:ascii="Calibri" w:eastAsia="Times New Roman" w:hAnsi="Calibri" w:cs="Calibri"/>
                <w:b/>
                <w:bCs/>
                <w:color w:val="000000"/>
                <w:sz w:val="18"/>
                <w:szCs w:val="18"/>
              </w:rPr>
              <w:t>Commercial airport</w:t>
            </w:r>
          </w:p>
        </w:tc>
        <w:tc>
          <w:tcPr>
            <w:tcW w:w="2240" w:type="pct"/>
            <w:tcBorders>
              <w:top w:val="single" w:sz="4" w:space="0" w:color="FFFFFF"/>
              <w:left w:val="nil"/>
              <w:bottom w:val="single" w:sz="12" w:space="0" w:color="FFFFFF"/>
              <w:right w:val="single" w:sz="4" w:space="0" w:color="FFFFFF"/>
            </w:tcBorders>
            <w:shd w:val="clear" w:color="auto" w:fill="auto"/>
            <w:noWrap/>
            <w:vAlign w:val="bottom"/>
            <w:hideMark/>
          </w:tcPr>
          <w:p w14:paraId="2AB1B11A" w14:textId="77777777" w:rsidR="00F638BC" w:rsidRPr="00F638BC" w:rsidRDefault="00F638BC" w:rsidP="00F638BC">
            <w:pPr>
              <w:spacing w:before="0" w:after="0" w:line="240" w:lineRule="auto"/>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439" w:type="pct"/>
            <w:tcBorders>
              <w:top w:val="single" w:sz="4" w:space="0" w:color="FFFFFF"/>
              <w:left w:val="nil"/>
              <w:bottom w:val="single" w:sz="12" w:space="0" w:color="FFFFFF"/>
              <w:right w:val="single" w:sz="4" w:space="0" w:color="FFFFFF"/>
            </w:tcBorders>
            <w:shd w:val="clear" w:color="auto" w:fill="auto"/>
            <w:noWrap/>
            <w:vAlign w:val="bottom"/>
            <w:hideMark/>
          </w:tcPr>
          <w:p w14:paraId="7DE407A3"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2.7%</w:t>
            </w:r>
          </w:p>
        </w:tc>
        <w:tc>
          <w:tcPr>
            <w:tcW w:w="449" w:type="pct"/>
            <w:tcBorders>
              <w:top w:val="single" w:sz="4" w:space="0" w:color="FFFFFF"/>
              <w:left w:val="nil"/>
              <w:bottom w:val="single" w:sz="12" w:space="0" w:color="FFFFFF"/>
              <w:right w:val="single" w:sz="4" w:space="0" w:color="FFFFFF"/>
            </w:tcBorders>
            <w:shd w:val="clear" w:color="auto" w:fill="auto"/>
            <w:noWrap/>
            <w:vAlign w:val="bottom"/>
            <w:hideMark/>
          </w:tcPr>
          <w:p w14:paraId="3005E636"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2.8%</w:t>
            </w:r>
          </w:p>
        </w:tc>
        <w:tc>
          <w:tcPr>
            <w:tcW w:w="478" w:type="pct"/>
            <w:tcBorders>
              <w:top w:val="single" w:sz="4" w:space="0" w:color="FFFFFF"/>
              <w:left w:val="nil"/>
              <w:bottom w:val="single" w:sz="12" w:space="0" w:color="FFFFFF"/>
              <w:right w:val="single" w:sz="4" w:space="0" w:color="FFFFFF"/>
            </w:tcBorders>
            <w:shd w:val="clear" w:color="auto" w:fill="auto"/>
            <w:noWrap/>
            <w:vAlign w:val="bottom"/>
            <w:hideMark/>
          </w:tcPr>
          <w:p w14:paraId="6D5D71F7" w14:textId="77777777" w:rsidR="00F638BC" w:rsidRPr="00F638BC" w:rsidRDefault="00F638BC" w:rsidP="00F638BC">
            <w:pPr>
              <w:spacing w:before="0" w:after="0" w:line="240" w:lineRule="auto"/>
              <w:contextualSpacing/>
              <w:jc w:val="right"/>
              <w:rPr>
                <w:rFonts w:ascii="Calibri" w:eastAsia="Times New Roman" w:hAnsi="Calibri" w:cs="Calibri"/>
                <w:b/>
                <w:bCs/>
                <w:sz w:val="18"/>
                <w:szCs w:val="18"/>
              </w:rPr>
            </w:pPr>
            <w:r w:rsidRPr="00F638BC">
              <w:rPr>
                <w:rFonts w:ascii="Calibri" w:eastAsia="Times New Roman" w:hAnsi="Calibri" w:cs="Calibri"/>
                <w:b/>
                <w:bCs/>
                <w:sz w:val="18"/>
                <w:szCs w:val="18"/>
              </w:rPr>
              <w:t>3.1%</w:t>
            </w:r>
          </w:p>
        </w:tc>
      </w:tr>
      <w:tr w:rsidR="00F638BC" w:rsidRPr="00F638BC" w14:paraId="47F71D9B" w14:textId="77777777" w:rsidTr="00F638BC">
        <w:trPr>
          <w:trHeight w:val="20"/>
        </w:trPr>
        <w:tc>
          <w:tcPr>
            <w:tcW w:w="3634" w:type="pct"/>
            <w:gridSpan w:val="3"/>
            <w:tcBorders>
              <w:top w:val="single" w:sz="12" w:space="0" w:color="FFFFFF"/>
              <w:left w:val="single" w:sz="4" w:space="0" w:color="FFFFFF"/>
              <w:bottom w:val="single" w:sz="12" w:space="0" w:color="FFFFFF"/>
              <w:right w:val="nil"/>
            </w:tcBorders>
            <w:shd w:val="clear" w:color="000000" w:fill="9D9272"/>
            <w:noWrap/>
            <w:vAlign w:val="bottom"/>
            <w:hideMark/>
          </w:tcPr>
          <w:p w14:paraId="131F8C92" w14:textId="77777777" w:rsidR="00F638BC" w:rsidRPr="00F638BC" w:rsidRDefault="00F638BC" w:rsidP="00F638BC">
            <w:pPr>
              <w:spacing w:before="0" w:after="0" w:line="240" w:lineRule="auto"/>
              <w:ind w:firstLineChars="100" w:firstLine="180"/>
              <w:contextualSpacing/>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 xml:space="preserve">Solid Waste </w:t>
            </w:r>
          </w:p>
        </w:tc>
        <w:tc>
          <w:tcPr>
            <w:tcW w:w="439" w:type="pct"/>
            <w:tcBorders>
              <w:top w:val="nil"/>
              <w:left w:val="nil"/>
              <w:bottom w:val="single" w:sz="12" w:space="0" w:color="FFFFFF"/>
              <w:right w:val="nil"/>
            </w:tcBorders>
            <w:shd w:val="clear" w:color="000000" w:fill="9D9272"/>
            <w:noWrap/>
            <w:vAlign w:val="bottom"/>
            <w:hideMark/>
          </w:tcPr>
          <w:p w14:paraId="3C607C21" w14:textId="77777777" w:rsidR="00F638BC" w:rsidRPr="00F638BC" w:rsidRDefault="00F638BC" w:rsidP="00F638BC">
            <w:pPr>
              <w:spacing w:before="0" w:after="0" w:line="240" w:lineRule="auto"/>
              <w:contextualSpacing/>
              <w:jc w:val="right"/>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1.4%</w:t>
            </w:r>
          </w:p>
        </w:tc>
        <w:tc>
          <w:tcPr>
            <w:tcW w:w="449" w:type="pct"/>
            <w:tcBorders>
              <w:top w:val="nil"/>
              <w:left w:val="nil"/>
              <w:bottom w:val="single" w:sz="12" w:space="0" w:color="FFFFFF"/>
              <w:right w:val="nil"/>
            </w:tcBorders>
            <w:shd w:val="clear" w:color="000000" w:fill="9D9272"/>
            <w:noWrap/>
            <w:vAlign w:val="bottom"/>
            <w:hideMark/>
          </w:tcPr>
          <w:p w14:paraId="5C86D594" w14:textId="77777777" w:rsidR="00F638BC" w:rsidRPr="00F638BC" w:rsidRDefault="00F638BC" w:rsidP="00F638BC">
            <w:pPr>
              <w:spacing w:before="0" w:after="0" w:line="240" w:lineRule="auto"/>
              <w:contextualSpacing/>
              <w:jc w:val="right"/>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1.2%</w:t>
            </w:r>
          </w:p>
        </w:tc>
        <w:tc>
          <w:tcPr>
            <w:tcW w:w="478" w:type="pct"/>
            <w:tcBorders>
              <w:top w:val="nil"/>
              <w:left w:val="nil"/>
              <w:bottom w:val="single" w:sz="12" w:space="0" w:color="FFFFFF"/>
              <w:right w:val="nil"/>
            </w:tcBorders>
            <w:shd w:val="clear" w:color="000000" w:fill="9D9272"/>
            <w:noWrap/>
            <w:vAlign w:val="bottom"/>
            <w:hideMark/>
          </w:tcPr>
          <w:p w14:paraId="3BBC7591" w14:textId="77777777" w:rsidR="00F638BC" w:rsidRPr="00F638BC" w:rsidRDefault="00F638BC" w:rsidP="00F638BC">
            <w:pPr>
              <w:spacing w:before="0" w:after="0" w:line="240" w:lineRule="auto"/>
              <w:contextualSpacing/>
              <w:jc w:val="right"/>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1.1%</w:t>
            </w:r>
          </w:p>
        </w:tc>
      </w:tr>
      <w:tr w:rsidR="00F638BC" w:rsidRPr="00F638BC" w14:paraId="1816784D" w14:textId="77777777" w:rsidTr="00F638BC">
        <w:trPr>
          <w:trHeight w:val="20"/>
        </w:trPr>
        <w:tc>
          <w:tcPr>
            <w:tcW w:w="233" w:type="pct"/>
            <w:tcBorders>
              <w:top w:val="nil"/>
              <w:left w:val="single" w:sz="4" w:space="0" w:color="FFFFFF"/>
              <w:bottom w:val="single" w:sz="12" w:space="0" w:color="FFFFFF"/>
              <w:right w:val="single" w:sz="4" w:space="0" w:color="FFFFFF"/>
            </w:tcBorders>
            <w:shd w:val="clear" w:color="auto" w:fill="auto"/>
            <w:noWrap/>
            <w:vAlign w:val="bottom"/>
            <w:hideMark/>
          </w:tcPr>
          <w:p w14:paraId="6E37ACA8"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12" w:space="0" w:color="FFFFFF"/>
              <w:right w:val="single" w:sz="4" w:space="0" w:color="FFFFFF"/>
            </w:tcBorders>
            <w:shd w:val="clear" w:color="auto" w:fill="auto"/>
            <w:noWrap/>
            <w:vAlign w:val="bottom"/>
            <w:hideMark/>
          </w:tcPr>
          <w:p w14:paraId="68E791B4" w14:textId="77777777" w:rsidR="00F638BC" w:rsidRPr="00F638BC" w:rsidRDefault="00F638BC" w:rsidP="00F638BC">
            <w:pPr>
              <w:spacing w:before="0" w:after="0" w:line="240" w:lineRule="auto"/>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Generation and disposal of solid waste</w:t>
            </w:r>
          </w:p>
        </w:tc>
        <w:tc>
          <w:tcPr>
            <w:tcW w:w="2240" w:type="pct"/>
            <w:tcBorders>
              <w:top w:val="nil"/>
              <w:left w:val="nil"/>
              <w:bottom w:val="single" w:sz="12" w:space="0" w:color="FFFFFF"/>
              <w:right w:val="single" w:sz="4" w:space="0" w:color="FFFFFF"/>
            </w:tcBorders>
            <w:shd w:val="clear" w:color="auto" w:fill="auto"/>
            <w:noWrap/>
            <w:vAlign w:val="bottom"/>
            <w:hideMark/>
          </w:tcPr>
          <w:p w14:paraId="16CD9D28" w14:textId="77777777" w:rsidR="00F638BC" w:rsidRPr="00F638BC" w:rsidRDefault="00F638BC" w:rsidP="00F638BC">
            <w:pPr>
              <w:spacing w:before="0" w:after="0" w:line="240" w:lineRule="auto"/>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439" w:type="pct"/>
            <w:tcBorders>
              <w:top w:val="nil"/>
              <w:left w:val="nil"/>
              <w:bottom w:val="single" w:sz="12" w:space="0" w:color="FFFFFF"/>
              <w:right w:val="single" w:sz="4" w:space="0" w:color="FFFFFF"/>
            </w:tcBorders>
            <w:shd w:val="clear" w:color="auto" w:fill="auto"/>
            <w:noWrap/>
            <w:vAlign w:val="bottom"/>
            <w:hideMark/>
          </w:tcPr>
          <w:p w14:paraId="6912B72F"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1.4%</w:t>
            </w:r>
          </w:p>
        </w:tc>
        <w:tc>
          <w:tcPr>
            <w:tcW w:w="449" w:type="pct"/>
            <w:tcBorders>
              <w:top w:val="nil"/>
              <w:left w:val="nil"/>
              <w:bottom w:val="single" w:sz="12" w:space="0" w:color="FFFFFF"/>
              <w:right w:val="single" w:sz="4" w:space="0" w:color="FFFFFF"/>
            </w:tcBorders>
            <w:shd w:val="clear" w:color="auto" w:fill="auto"/>
            <w:noWrap/>
            <w:vAlign w:val="bottom"/>
            <w:hideMark/>
          </w:tcPr>
          <w:p w14:paraId="0E0A73FF"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1.2%</w:t>
            </w:r>
          </w:p>
        </w:tc>
        <w:tc>
          <w:tcPr>
            <w:tcW w:w="478" w:type="pct"/>
            <w:tcBorders>
              <w:top w:val="nil"/>
              <w:left w:val="nil"/>
              <w:bottom w:val="single" w:sz="12" w:space="0" w:color="FFFFFF"/>
              <w:right w:val="single" w:sz="4" w:space="0" w:color="FFFFFF"/>
            </w:tcBorders>
            <w:shd w:val="clear" w:color="auto" w:fill="auto"/>
            <w:noWrap/>
            <w:vAlign w:val="bottom"/>
            <w:hideMark/>
          </w:tcPr>
          <w:p w14:paraId="4210C305"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1.1%</w:t>
            </w:r>
          </w:p>
        </w:tc>
      </w:tr>
      <w:tr w:rsidR="00F638BC" w:rsidRPr="00F638BC" w14:paraId="37CC48FE" w14:textId="77777777" w:rsidTr="00F638BC">
        <w:trPr>
          <w:trHeight w:val="20"/>
        </w:trPr>
        <w:tc>
          <w:tcPr>
            <w:tcW w:w="3634" w:type="pct"/>
            <w:gridSpan w:val="3"/>
            <w:tcBorders>
              <w:top w:val="single" w:sz="12" w:space="0" w:color="FFFFFF"/>
              <w:left w:val="single" w:sz="4" w:space="0" w:color="FFFFFF"/>
              <w:bottom w:val="single" w:sz="12" w:space="0" w:color="FFFFFF"/>
              <w:right w:val="nil"/>
            </w:tcBorders>
            <w:shd w:val="clear" w:color="000000" w:fill="61939A"/>
            <w:noWrap/>
            <w:vAlign w:val="bottom"/>
            <w:hideMark/>
          </w:tcPr>
          <w:p w14:paraId="3111E183" w14:textId="77777777" w:rsidR="00F638BC" w:rsidRPr="00F638BC" w:rsidRDefault="00F638BC" w:rsidP="00F638BC">
            <w:pPr>
              <w:spacing w:before="0" w:after="0" w:line="240" w:lineRule="auto"/>
              <w:ind w:firstLineChars="100" w:firstLine="180"/>
              <w:contextualSpacing/>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 xml:space="preserve">Water and Wastewater </w:t>
            </w:r>
          </w:p>
        </w:tc>
        <w:tc>
          <w:tcPr>
            <w:tcW w:w="439" w:type="pct"/>
            <w:tcBorders>
              <w:top w:val="nil"/>
              <w:left w:val="nil"/>
              <w:bottom w:val="single" w:sz="12" w:space="0" w:color="FFFFFF"/>
              <w:right w:val="nil"/>
            </w:tcBorders>
            <w:shd w:val="clear" w:color="000000" w:fill="61939A"/>
            <w:noWrap/>
            <w:vAlign w:val="bottom"/>
            <w:hideMark/>
          </w:tcPr>
          <w:p w14:paraId="160539A1" w14:textId="77777777" w:rsidR="00F638BC" w:rsidRPr="00F638BC" w:rsidRDefault="00F638BC" w:rsidP="00F638BC">
            <w:pPr>
              <w:spacing w:before="0" w:after="0" w:line="240" w:lineRule="auto"/>
              <w:contextualSpacing/>
              <w:jc w:val="right"/>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0.3%</w:t>
            </w:r>
          </w:p>
        </w:tc>
        <w:tc>
          <w:tcPr>
            <w:tcW w:w="449" w:type="pct"/>
            <w:tcBorders>
              <w:top w:val="nil"/>
              <w:left w:val="nil"/>
              <w:bottom w:val="single" w:sz="12" w:space="0" w:color="FFFFFF"/>
              <w:right w:val="nil"/>
            </w:tcBorders>
            <w:shd w:val="clear" w:color="000000" w:fill="61939A"/>
            <w:noWrap/>
            <w:vAlign w:val="bottom"/>
            <w:hideMark/>
          </w:tcPr>
          <w:p w14:paraId="6180A390" w14:textId="77777777" w:rsidR="00F638BC" w:rsidRPr="00F638BC" w:rsidRDefault="00F638BC" w:rsidP="00F638BC">
            <w:pPr>
              <w:spacing w:before="0" w:after="0" w:line="240" w:lineRule="auto"/>
              <w:contextualSpacing/>
              <w:jc w:val="right"/>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0.3%</w:t>
            </w:r>
          </w:p>
        </w:tc>
        <w:tc>
          <w:tcPr>
            <w:tcW w:w="478" w:type="pct"/>
            <w:tcBorders>
              <w:top w:val="nil"/>
              <w:left w:val="nil"/>
              <w:bottom w:val="single" w:sz="12" w:space="0" w:color="FFFFFF"/>
              <w:right w:val="nil"/>
            </w:tcBorders>
            <w:shd w:val="clear" w:color="000000" w:fill="61939A"/>
            <w:noWrap/>
            <w:vAlign w:val="bottom"/>
            <w:hideMark/>
          </w:tcPr>
          <w:p w14:paraId="1F0FAF7E" w14:textId="77777777" w:rsidR="00F638BC" w:rsidRPr="00F638BC" w:rsidRDefault="00F638BC" w:rsidP="00F638BC">
            <w:pPr>
              <w:spacing w:before="0" w:after="0" w:line="240" w:lineRule="auto"/>
              <w:contextualSpacing/>
              <w:jc w:val="right"/>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0.3%</w:t>
            </w:r>
          </w:p>
        </w:tc>
      </w:tr>
      <w:tr w:rsidR="00F638BC" w:rsidRPr="00F638BC" w14:paraId="6FDD6A0D"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33191868" w14:textId="77777777" w:rsidR="00F638BC" w:rsidRPr="00F638BC" w:rsidRDefault="00F638BC" w:rsidP="00F638BC">
            <w:pPr>
              <w:spacing w:before="0" w:after="0" w:line="240" w:lineRule="auto"/>
              <w:ind w:firstLineChars="100" w:firstLine="180"/>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64CA2957" w14:textId="77777777" w:rsidR="00F638BC" w:rsidRPr="00F638BC" w:rsidRDefault="00F638BC" w:rsidP="00F638BC">
            <w:pPr>
              <w:spacing w:before="0" w:after="0" w:line="240" w:lineRule="auto"/>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Potable water process emissions</w:t>
            </w:r>
          </w:p>
        </w:tc>
        <w:tc>
          <w:tcPr>
            <w:tcW w:w="2240" w:type="pct"/>
            <w:tcBorders>
              <w:top w:val="nil"/>
              <w:left w:val="nil"/>
              <w:bottom w:val="single" w:sz="4" w:space="0" w:color="FFFFFF"/>
              <w:right w:val="single" w:sz="4" w:space="0" w:color="FFFFFF"/>
            </w:tcBorders>
            <w:shd w:val="clear" w:color="auto" w:fill="auto"/>
            <w:noWrap/>
            <w:vAlign w:val="bottom"/>
            <w:hideMark/>
          </w:tcPr>
          <w:p w14:paraId="3AA0ED76" w14:textId="77777777" w:rsidR="00F638BC" w:rsidRPr="00F638BC" w:rsidRDefault="00F638BC" w:rsidP="00F638BC">
            <w:pPr>
              <w:spacing w:before="0" w:after="0" w:line="240" w:lineRule="auto"/>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439" w:type="pct"/>
            <w:tcBorders>
              <w:top w:val="nil"/>
              <w:left w:val="nil"/>
              <w:bottom w:val="single" w:sz="4" w:space="0" w:color="FFFFFF"/>
              <w:right w:val="single" w:sz="4" w:space="0" w:color="FFFFFF"/>
            </w:tcBorders>
            <w:shd w:val="clear" w:color="auto" w:fill="auto"/>
            <w:noWrap/>
            <w:vAlign w:val="bottom"/>
            <w:hideMark/>
          </w:tcPr>
          <w:p w14:paraId="4AC28F33"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0.0%</w:t>
            </w:r>
          </w:p>
        </w:tc>
        <w:tc>
          <w:tcPr>
            <w:tcW w:w="449" w:type="pct"/>
            <w:tcBorders>
              <w:top w:val="nil"/>
              <w:left w:val="nil"/>
              <w:bottom w:val="single" w:sz="4" w:space="0" w:color="FFFFFF"/>
              <w:right w:val="single" w:sz="4" w:space="0" w:color="FFFFFF"/>
            </w:tcBorders>
            <w:shd w:val="clear" w:color="auto" w:fill="auto"/>
            <w:noWrap/>
            <w:vAlign w:val="bottom"/>
            <w:hideMark/>
          </w:tcPr>
          <w:p w14:paraId="24FC6E5F"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0.0%</w:t>
            </w:r>
          </w:p>
        </w:tc>
        <w:tc>
          <w:tcPr>
            <w:tcW w:w="478" w:type="pct"/>
            <w:tcBorders>
              <w:top w:val="nil"/>
              <w:left w:val="nil"/>
              <w:bottom w:val="single" w:sz="4" w:space="0" w:color="FFFFFF"/>
              <w:right w:val="single" w:sz="4" w:space="0" w:color="FFFFFF"/>
            </w:tcBorders>
            <w:shd w:val="clear" w:color="auto" w:fill="auto"/>
            <w:noWrap/>
            <w:vAlign w:val="bottom"/>
            <w:hideMark/>
          </w:tcPr>
          <w:p w14:paraId="0322F9FF"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0.0%</w:t>
            </w:r>
          </w:p>
        </w:tc>
      </w:tr>
      <w:tr w:rsidR="00F638BC" w:rsidRPr="00F638BC" w14:paraId="74EC0BBD" w14:textId="77777777" w:rsidTr="00F638BC">
        <w:trPr>
          <w:trHeight w:val="20"/>
        </w:trPr>
        <w:tc>
          <w:tcPr>
            <w:tcW w:w="233" w:type="pct"/>
            <w:tcBorders>
              <w:top w:val="nil"/>
              <w:left w:val="single" w:sz="4" w:space="0" w:color="FFFFFF"/>
              <w:bottom w:val="single" w:sz="12" w:space="0" w:color="FFFFFF"/>
              <w:right w:val="single" w:sz="4" w:space="0" w:color="FFFFFF"/>
            </w:tcBorders>
            <w:shd w:val="clear" w:color="auto" w:fill="auto"/>
            <w:noWrap/>
            <w:vAlign w:val="bottom"/>
            <w:hideMark/>
          </w:tcPr>
          <w:p w14:paraId="1C3A5A55" w14:textId="77777777" w:rsidR="00F638BC" w:rsidRPr="00F638BC" w:rsidRDefault="00F638BC" w:rsidP="00F638BC">
            <w:pPr>
              <w:spacing w:before="0" w:after="0" w:line="240" w:lineRule="auto"/>
              <w:ind w:firstLineChars="100" w:firstLine="180"/>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1161" w:type="pct"/>
            <w:tcBorders>
              <w:top w:val="nil"/>
              <w:left w:val="nil"/>
              <w:bottom w:val="single" w:sz="12" w:space="0" w:color="FFFFFF"/>
              <w:right w:val="single" w:sz="4" w:space="0" w:color="FFFFFF"/>
            </w:tcBorders>
            <w:shd w:val="clear" w:color="auto" w:fill="auto"/>
            <w:noWrap/>
            <w:vAlign w:val="bottom"/>
            <w:hideMark/>
          </w:tcPr>
          <w:p w14:paraId="05A81EC3" w14:textId="77777777" w:rsidR="00F638BC" w:rsidRPr="00F638BC" w:rsidRDefault="00F638BC" w:rsidP="00F638BC">
            <w:pPr>
              <w:spacing w:before="0" w:after="0" w:line="240" w:lineRule="auto"/>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Wastewater process emissions</w:t>
            </w:r>
          </w:p>
        </w:tc>
        <w:tc>
          <w:tcPr>
            <w:tcW w:w="2240" w:type="pct"/>
            <w:tcBorders>
              <w:top w:val="nil"/>
              <w:left w:val="nil"/>
              <w:bottom w:val="single" w:sz="12" w:space="0" w:color="FFFFFF"/>
              <w:right w:val="single" w:sz="4" w:space="0" w:color="FFFFFF"/>
            </w:tcBorders>
            <w:shd w:val="clear" w:color="auto" w:fill="auto"/>
            <w:noWrap/>
            <w:vAlign w:val="bottom"/>
            <w:hideMark/>
          </w:tcPr>
          <w:p w14:paraId="1DB0D4F1" w14:textId="77777777" w:rsidR="00F638BC" w:rsidRPr="00F638BC" w:rsidRDefault="00F638BC" w:rsidP="00F638BC">
            <w:pPr>
              <w:spacing w:before="0" w:after="0" w:line="240" w:lineRule="auto"/>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439" w:type="pct"/>
            <w:tcBorders>
              <w:top w:val="nil"/>
              <w:left w:val="nil"/>
              <w:bottom w:val="single" w:sz="12" w:space="0" w:color="FFFFFF"/>
              <w:right w:val="single" w:sz="4" w:space="0" w:color="FFFFFF"/>
            </w:tcBorders>
            <w:shd w:val="clear" w:color="auto" w:fill="auto"/>
            <w:noWrap/>
            <w:vAlign w:val="bottom"/>
            <w:hideMark/>
          </w:tcPr>
          <w:p w14:paraId="23E5DA93"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0.3%</w:t>
            </w:r>
          </w:p>
        </w:tc>
        <w:tc>
          <w:tcPr>
            <w:tcW w:w="449" w:type="pct"/>
            <w:tcBorders>
              <w:top w:val="nil"/>
              <w:left w:val="nil"/>
              <w:bottom w:val="single" w:sz="12" w:space="0" w:color="FFFFFF"/>
              <w:right w:val="single" w:sz="4" w:space="0" w:color="FFFFFF"/>
            </w:tcBorders>
            <w:shd w:val="clear" w:color="auto" w:fill="auto"/>
            <w:noWrap/>
            <w:vAlign w:val="bottom"/>
            <w:hideMark/>
          </w:tcPr>
          <w:p w14:paraId="43FEF5A5"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0.3%</w:t>
            </w:r>
          </w:p>
        </w:tc>
        <w:tc>
          <w:tcPr>
            <w:tcW w:w="478" w:type="pct"/>
            <w:tcBorders>
              <w:top w:val="nil"/>
              <w:left w:val="nil"/>
              <w:bottom w:val="single" w:sz="12" w:space="0" w:color="FFFFFF"/>
              <w:right w:val="single" w:sz="4" w:space="0" w:color="FFFFFF"/>
            </w:tcBorders>
            <w:shd w:val="clear" w:color="auto" w:fill="auto"/>
            <w:noWrap/>
            <w:vAlign w:val="bottom"/>
            <w:hideMark/>
          </w:tcPr>
          <w:p w14:paraId="27229648"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0.3%</w:t>
            </w:r>
          </w:p>
        </w:tc>
      </w:tr>
      <w:tr w:rsidR="00F638BC" w:rsidRPr="00F638BC" w14:paraId="63E96311" w14:textId="77777777" w:rsidTr="00F638BC">
        <w:trPr>
          <w:trHeight w:val="20"/>
        </w:trPr>
        <w:tc>
          <w:tcPr>
            <w:tcW w:w="3634" w:type="pct"/>
            <w:gridSpan w:val="3"/>
            <w:tcBorders>
              <w:top w:val="single" w:sz="12" w:space="0" w:color="FFFFFF"/>
              <w:left w:val="single" w:sz="4" w:space="0" w:color="FFFFFF"/>
              <w:bottom w:val="single" w:sz="12" w:space="0" w:color="FFFFFF"/>
              <w:right w:val="nil"/>
            </w:tcBorders>
            <w:shd w:val="clear" w:color="000000" w:fill="CED665"/>
            <w:noWrap/>
            <w:vAlign w:val="bottom"/>
            <w:hideMark/>
          </w:tcPr>
          <w:p w14:paraId="1E8B4BB9" w14:textId="77777777" w:rsidR="00F638BC" w:rsidRPr="00F638BC" w:rsidRDefault="00F638BC" w:rsidP="00F638BC">
            <w:pPr>
              <w:spacing w:before="0" w:after="0" w:line="240" w:lineRule="auto"/>
              <w:ind w:firstLineChars="100" w:firstLine="180"/>
              <w:contextualSpacing/>
              <w:rPr>
                <w:rFonts w:ascii="Calibri" w:eastAsia="Times New Roman" w:hAnsi="Calibri" w:cs="Calibri"/>
                <w:b/>
                <w:bCs/>
                <w:color w:val="000000"/>
                <w:sz w:val="18"/>
                <w:szCs w:val="18"/>
              </w:rPr>
            </w:pPr>
            <w:r w:rsidRPr="00F638BC">
              <w:rPr>
                <w:rFonts w:ascii="Calibri" w:eastAsia="Times New Roman" w:hAnsi="Calibri" w:cs="Calibri"/>
                <w:b/>
                <w:bCs/>
                <w:color w:val="000000"/>
                <w:sz w:val="18"/>
                <w:szCs w:val="18"/>
              </w:rPr>
              <w:t xml:space="preserve">Agriculture </w:t>
            </w:r>
          </w:p>
        </w:tc>
        <w:tc>
          <w:tcPr>
            <w:tcW w:w="439" w:type="pct"/>
            <w:tcBorders>
              <w:top w:val="nil"/>
              <w:left w:val="nil"/>
              <w:bottom w:val="single" w:sz="12" w:space="0" w:color="FFFFFF"/>
              <w:right w:val="nil"/>
            </w:tcBorders>
            <w:shd w:val="clear" w:color="000000" w:fill="CED665"/>
            <w:noWrap/>
            <w:vAlign w:val="bottom"/>
            <w:hideMark/>
          </w:tcPr>
          <w:p w14:paraId="60E4A7A3" w14:textId="77777777" w:rsidR="00F638BC" w:rsidRPr="00F638BC" w:rsidRDefault="00F638BC" w:rsidP="00F638BC">
            <w:pPr>
              <w:spacing w:before="0" w:after="0" w:line="240" w:lineRule="auto"/>
              <w:contextualSpacing/>
              <w:jc w:val="right"/>
              <w:rPr>
                <w:rFonts w:ascii="Calibri" w:eastAsia="Times New Roman" w:hAnsi="Calibri" w:cs="Calibri"/>
                <w:b/>
                <w:bCs/>
                <w:color w:val="000000"/>
                <w:sz w:val="18"/>
                <w:szCs w:val="18"/>
              </w:rPr>
            </w:pPr>
            <w:r w:rsidRPr="00F638BC">
              <w:rPr>
                <w:rFonts w:ascii="Calibri" w:eastAsia="Times New Roman" w:hAnsi="Calibri" w:cs="Calibri"/>
                <w:b/>
                <w:bCs/>
                <w:color w:val="000000"/>
                <w:sz w:val="18"/>
                <w:szCs w:val="18"/>
              </w:rPr>
              <w:t>0.9%</w:t>
            </w:r>
          </w:p>
        </w:tc>
        <w:tc>
          <w:tcPr>
            <w:tcW w:w="449" w:type="pct"/>
            <w:tcBorders>
              <w:top w:val="nil"/>
              <w:left w:val="nil"/>
              <w:bottom w:val="single" w:sz="12" w:space="0" w:color="FFFFFF"/>
              <w:right w:val="nil"/>
            </w:tcBorders>
            <w:shd w:val="clear" w:color="000000" w:fill="CED665"/>
            <w:noWrap/>
            <w:vAlign w:val="bottom"/>
            <w:hideMark/>
          </w:tcPr>
          <w:p w14:paraId="3EFFF13B" w14:textId="77777777" w:rsidR="00F638BC" w:rsidRPr="00F638BC" w:rsidRDefault="00F638BC" w:rsidP="00F638BC">
            <w:pPr>
              <w:spacing w:before="0" w:after="0" w:line="240" w:lineRule="auto"/>
              <w:contextualSpacing/>
              <w:jc w:val="right"/>
              <w:rPr>
                <w:rFonts w:ascii="Calibri" w:eastAsia="Times New Roman" w:hAnsi="Calibri" w:cs="Calibri"/>
                <w:b/>
                <w:bCs/>
                <w:color w:val="000000"/>
                <w:sz w:val="18"/>
                <w:szCs w:val="18"/>
              </w:rPr>
            </w:pPr>
            <w:r w:rsidRPr="00F638BC">
              <w:rPr>
                <w:rFonts w:ascii="Calibri" w:eastAsia="Times New Roman" w:hAnsi="Calibri" w:cs="Calibri"/>
                <w:b/>
                <w:bCs/>
                <w:color w:val="000000"/>
                <w:sz w:val="18"/>
                <w:szCs w:val="18"/>
              </w:rPr>
              <w:t>0.8%</w:t>
            </w:r>
          </w:p>
        </w:tc>
        <w:tc>
          <w:tcPr>
            <w:tcW w:w="478" w:type="pct"/>
            <w:tcBorders>
              <w:top w:val="nil"/>
              <w:left w:val="nil"/>
              <w:bottom w:val="single" w:sz="12" w:space="0" w:color="FFFFFF"/>
              <w:right w:val="nil"/>
            </w:tcBorders>
            <w:shd w:val="clear" w:color="000000" w:fill="CED665"/>
            <w:noWrap/>
            <w:vAlign w:val="bottom"/>
            <w:hideMark/>
          </w:tcPr>
          <w:p w14:paraId="7BD6362D" w14:textId="77777777" w:rsidR="00F638BC" w:rsidRPr="00F638BC" w:rsidRDefault="00F638BC" w:rsidP="00F638BC">
            <w:pPr>
              <w:spacing w:before="0" w:after="0" w:line="240" w:lineRule="auto"/>
              <w:contextualSpacing/>
              <w:jc w:val="right"/>
              <w:rPr>
                <w:rFonts w:ascii="Calibri" w:eastAsia="Times New Roman" w:hAnsi="Calibri" w:cs="Calibri"/>
                <w:b/>
                <w:bCs/>
                <w:color w:val="000000"/>
                <w:sz w:val="18"/>
                <w:szCs w:val="18"/>
              </w:rPr>
            </w:pPr>
            <w:r w:rsidRPr="00F638BC">
              <w:rPr>
                <w:rFonts w:ascii="Calibri" w:eastAsia="Times New Roman" w:hAnsi="Calibri" w:cs="Calibri"/>
                <w:b/>
                <w:bCs/>
                <w:color w:val="000000"/>
                <w:sz w:val="18"/>
                <w:szCs w:val="18"/>
              </w:rPr>
              <w:t>0.7%</w:t>
            </w:r>
          </w:p>
        </w:tc>
      </w:tr>
      <w:tr w:rsidR="00F638BC" w:rsidRPr="00F638BC" w14:paraId="63A46C76" w14:textId="77777777" w:rsidTr="00F638BC">
        <w:trPr>
          <w:trHeight w:val="20"/>
        </w:trPr>
        <w:tc>
          <w:tcPr>
            <w:tcW w:w="233" w:type="pct"/>
            <w:tcBorders>
              <w:top w:val="nil"/>
              <w:left w:val="single" w:sz="4" w:space="0" w:color="FFFFFF"/>
              <w:bottom w:val="single" w:sz="4" w:space="0" w:color="FFFFFF"/>
              <w:right w:val="single" w:sz="4" w:space="0" w:color="FFFFFF"/>
            </w:tcBorders>
            <w:shd w:val="clear" w:color="auto" w:fill="auto"/>
            <w:noWrap/>
            <w:vAlign w:val="bottom"/>
            <w:hideMark/>
          </w:tcPr>
          <w:p w14:paraId="0B8A73CC"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4" w:space="0" w:color="FFFFFF"/>
              <w:right w:val="single" w:sz="4" w:space="0" w:color="FFFFFF"/>
            </w:tcBorders>
            <w:shd w:val="clear" w:color="auto" w:fill="auto"/>
            <w:noWrap/>
            <w:vAlign w:val="bottom"/>
            <w:hideMark/>
          </w:tcPr>
          <w:p w14:paraId="59890CCF" w14:textId="77777777" w:rsidR="00F638BC" w:rsidRPr="00F638BC" w:rsidRDefault="00F638BC" w:rsidP="00F638BC">
            <w:pPr>
              <w:spacing w:before="0" w:after="0" w:line="240" w:lineRule="auto"/>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Domesticated animal production</w:t>
            </w:r>
          </w:p>
        </w:tc>
        <w:tc>
          <w:tcPr>
            <w:tcW w:w="2240" w:type="pct"/>
            <w:tcBorders>
              <w:top w:val="nil"/>
              <w:left w:val="nil"/>
              <w:bottom w:val="single" w:sz="4" w:space="0" w:color="FFFFFF"/>
              <w:right w:val="single" w:sz="4" w:space="0" w:color="FFFFFF"/>
            </w:tcBorders>
            <w:shd w:val="clear" w:color="auto" w:fill="auto"/>
            <w:noWrap/>
            <w:vAlign w:val="bottom"/>
            <w:hideMark/>
          </w:tcPr>
          <w:p w14:paraId="79BD47C6" w14:textId="77777777" w:rsidR="00F638BC" w:rsidRPr="00F638BC" w:rsidRDefault="00F638BC" w:rsidP="00F638BC">
            <w:pPr>
              <w:spacing w:before="0" w:after="0" w:line="240" w:lineRule="auto"/>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439" w:type="pct"/>
            <w:tcBorders>
              <w:top w:val="nil"/>
              <w:left w:val="nil"/>
              <w:bottom w:val="single" w:sz="4" w:space="0" w:color="FFFFFF"/>
              <w:right w:val="single" w:sz="4" w:space="0" w:color="FFFFFF"/>
            </w:tcBorders>
            <w:shd w:val="clear" w:color="auto" w:fill="auto"/>
            <w:noWrap/>
            <w:vAlign w:val="bottom"/>
            <w:hideMark/>
          </w:tcPr>
          <w:p w14:paraId="6D776A51"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0.4%</w:t>
            </w:r>
          </w:p>
        </w:tc>
        <w:tc>
          <w:tcPr>
            <w:tcW w:w="449" w:type="pct"/>
            <w:tcBorders>
              <w:top w:val="nil"/>
              <w:left w:val="nil"/>
              <w:bottom w:val="single" w:sz="4" w:space="0" w:color="FFFFFF"/>
              <w:right w:val="single" w:sz="4" w:space="0" w:color="FFFFFF"/>
            </w:tcBorders>
            <w:shd w:val="clear" w:color="auto" w:fill="auto"/>
            <w:noWrap/>
            <w:vAlign w:val="bottom"/>
            <w:hideMark/>
          </w:tcPr>
          <w:p w14:paraId="19369B24"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0.4%</w:t>
            </w:r>
          </w:p>
        </w:tc>
        <w:tc>
          <w:tcPr>
            <w:tcW w:w="478" w:type="pct"/>
            <w:tcBorders>
              <w:top w:val="nil"/>
              <w:left w:val="nil"/>
              <w:bottom w:val="single" w:sz="4" w:space="0" w:color="FFFFFF"/>
              <w:right w:val="single" w:sz="4" w:space="0" w:color="FFFFFF"/>
            </w:tcBorders>
            <w:shd w:val="clear" w:color="auto" w:fill="auto"/>
            <w:noWrap/>
            <w:vAlign w:val="bottom"/>
            <w:hideMark/>
          </w:tcPr>
          <w:p w14:paraId="5EEA7557"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0.4%</w:t>
            </w:r>
          </w:p>
        </w:tc>
      </w:tr>
      <w:tr w:rsidR="00F638BC" w:rsidRPr="00F638BC" w14:paraId="1BF8DF88" w14:textId="77777777" w:rsidTr="00F638BC">
        <w:trPr>
          <w:trHeight w:val="20"/>
        </w:trPr>
        <w:tc>
          <w:tcPr>
            <w:tcW w:w="233" w:type="pct"/>
            <w:tcBorders>
              <w:top w:val="nil"/>
              <w:left w:val="single" w:sz="4" w:space="0" w:color="FFFFFF"/>
              <w:bottom w:val="single" w:sz="12" w:space="0" w:color="FFFFFF"/>
              <w:right w:val="single" w:sz="4" w:space="0" w:color="FFFFFF"/>
            </w:tcBorders>
            <w:shd w:val="clear" w:color="auto" w:fill="auto"/>
            <w:noWrap/>
            <w:vAlign w:val="bottom"/>
            <w:hideMark/>
          </w:tcPr>
          <w:p w14:paraId="35E1CD40"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12" w:space="0" w:color="FFFFFF"/>
              <w:right w:val="single" w:sz="4" w:space="0" w:color="FFFFFF"/>
            </w:tcBorders>
            <w:shd w:val="clear" w:color="auto" w:fill="auto"/>
            <w:noWrap/>
            <w:vAlign w:val="bottom"/>
            <w:hideMark/>
          </w:tcPr>
          <w:p w14:paraId="328BD6AF" w14:textId="77777777" w:rsidR="00F638BC" w:rsidRPr="00F638BC" w:rsidRDefault="00F638BC" w:rsidP="00F638BC">
            <w:pPr>
              <w:spacing w:before="0" w:after="0" w:line="240" w:lineRule="auto"/>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Manure decomposition and treatment</w:t>
            </w:r>
          </w:p>
        </w:tc>
        <w:tc>
          <w:tcPr>
            <w:tcW w:w="2240" w:type="pct"/>
            <w:tcBorders>
              <w:top w:val="nil"/>
              <w:left w:val="nil"/>
              <w:bottom w:val="single" w:sz="12" w:space="0" w:color="FFFFFF"/>
              <w:right w:val="single" w:sz="4" w:space="0" w:color="FFFFFF"/>
            </w:tcBorders>
            <w:shd w:val="clear" w:color="auto" w:fill="auto"/>
            <w:noWrap/>
            <w:vAlign w:val="bottom"/>
            <w:hideMark/>
          </w:tcPr>
          <w:p w14:paraId="39B7C786" w14:textId="77777777" w:rsidR="00F638BC" w:rsidRPr="00F638BC" w:rsidRDefault="00F638BC" w:rsidP="00F638BC">
            <w:pPr>
              <w:spacing w:before="0" w:after="0" w:line="240" w:lineRule="auto"/>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439" w:type="pct"/>
            <w:tcBorders>
              <w:top w:val="nil"/>
              <w:left w:val="nil"/>
              <w:bottom w:val="single" w:sz="12" w:space="0" w:color="FFFFFF"/>
              <w:right w:val="single" w:sz="4" w:space="0" w:color="FFFFFF"/>
            </w:tcBorders>
            <w:shd w:val="clear" w:color="auto" w:fill="auto"/>
            <w:noWrap/>
            <w:vAlign w:val="bottom"/>
            <w:hideMark/>
          </w:tcPr>
          <w:p w14:paraId="5A6E3240"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0.5%</w:t>
            </w:r>
          </w:p>
        </w:tc>
        <w:tc>
          <w:tcPr>
            <w:tcW w:w="449" w:type="pct"/>
            <w:tcBorders>
              <w:top w:val="nil"/>
              <w:left w:val="nil"/>
              <w:bottom w:val="single" w:sz="12" w:space="0" w:color="FFFFFF"/>
              <w:right w:val="single" w:sz="4" w:space="0" w:color="FFFFFF"/>
            </w:tcBorders>
            <w:shd w:val="clear" w:color="auto" w:fill="auto"/>
            <w:noWrap/>
            <w:vAlign w:val="bottom"/>
            <w:hideMark/>
          </w:tcPr>
          <w:p w14:paraId="508AA188"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0.5%</w:t>
            </w:r>
          </w:p>
        </w:tc>
        <w:tc>
          <w:tcPr>
            <w:tcW w:w="478" w:type="pct"/>
            <w:tcBorders>
              <w:top w:val="nil"/>
              <w:left w:val="nil"/>
              <w:bottom w:val="single" w:sz="12" w:space="0" w:color="FFFFFF"/>
              <w:right w:val="single" w:sz="4" w:space="0" w:color="FFFFFF"/>
            </w:tcBorders>
            <w:shd w:val="clear" w:color="auto" w:fill="auto"/>
            <w:noWrap/>
            <w:vAlign w:val="bottom"/>
            <w:hideMark/>
          </w:tcPr>
          <w:p w14:paraId="7163C7E7"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0.3%</w:t>
            </w:r>
          </w:p>
        </w:tc>
      </w:tr>
      <w:tr w:rsidR="00F638BC" w:rsidRPr="00F638BC" w14:paraId="3392CDEC" w14:textId="77777777" w:rsidTr="00F638BC">
        <w:trPr>
          <w:trHeight w:val="20"/>
        </w:trPr>
        <w:tc>
          <w:tcPr>
            <w:tcW w:w="3634" w:type="pct"/>
            <w:gridSpan w:val="3"/>
            <w:tcBorders>
              <w:top w:val="single" w:sz="12" w:space="0" w:color="FFFFFF"/>
              <w:left w:val="single" w:sz="4" w:space="0" w:color="FFFFFF"/>
              <w:bottom w:val="single" w:sz="12" w:space="0" w:color="FFFFFF"/>
              <w:right w:val="nil"/>
            </w:tcBorders>
            <w:shd w:val="clear" w:color="000000" w:fill="808080"/>
            <w:noWrap/>
            <w:vAlign w:val="bottom"/>
            <w:hideMark/>
          </w:tcPr>
          <w:p w14:paraId="35A42C90" w14:textId="77777777" w:rsidR="00F638BC" w:rsidRPr="00F638BC" w:rsidRDefault="00F638BC" w:rsidP="00F638BC">
            <w:pPr>
              <w:spacing w:before="0" w:after="0" w:line="240" w:lineRule="auto"/>
              <w:ind w:firstLineChars="100" w:firstLine="180"/>
              <w:contextualSpacing/>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Other Emission Sectors</w:t>
            </w:r>
          </w:p>
        </w:tc>
        <w:tc>
          <w:tcPr>
            <w:tcW w:w="439" w:type="pct"/>
            <w:tcBorders>
              <w:top w:val="nil"/>
              <w:left w:val="nil"/>
              <w:bottom w:val="single" w:sz="12" w:space="0" w:color="FFFFFF"/>
              <w:right w:val="nil"/>
            </w:tcBorders>
            <w:shd w:val="clear" w:color="000000" w:fill="808080"/>
            <w:noWrap/>
            <w:vAlign w:val="bottom"/>
            <w:hideMark/>
          </w:tcPr>
          <w:p w14:paraId="764E6714" w14:textId="77777777" w:rsidR="00F638BC" w:rsidRPr="00F638BC" w:rsidRDefault="00F638BC" w:rsidP="00F638BC">
            <w:pPr>
              <w:spacing w:before="0" w:after="0" w:line="240" w:lineRule="auto"/>
              <w:contextualSpacing/>
              <w:jc w:val="right"/>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N/A</w:t>
            </w:r>
          </w:p>
        </w:tc>
        <w:tc>
          <w:tcPr>
            <w:tcW w:w="449" w:type="pct"/>
            <w:tcBorders>
              <w:top w:val="nil"/>
              <w:left w:val="nil"/>
              <w:bottom w:val="single" w:sz="12" w:space="0" w:color="FFFFFF"/>
              <w:right w:val="nil"/>
            </w:tcBorders>
            <w:shd w:val="clear" w:color="000000" w:fill="808080"/>
            <w:noWrap/>
            <w:vAlign w:val="bottom"/>
            <w:hideMark/>
          </w:tcPr>
          <w:p w14:paraId="38D55125" w14:textId="77777777" w:rsidR="00F638BC" w:rsidRPr="00F638BC" w:rsidRDefault="00F638BC" w:rsidP="00F638BC">
            <w:pPr>
              <w:spacing w:before="0" w:after="0" w:line="240" w:lineRule="auto"/>
              <w:contextualSpacing/>
              <w:jc w:val="right"/>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N/A</w:t>
            </w:r>
          </w:p>
        </w:tc>
        <w:tc>
          <w:tcPr>
            <w:tcW w:w="478" w:type="pct"/>
            <w:tcBorders>
              <w:top w:val="nil"/>
              <w:left w:val="nil"/>
              <w:bottom w:val="single" w:sz="12" w:space="0" w:color="FFFFFF"/>
              <w:right w:val="nil"/>
            </w:tcBorders>
            <w:shd w:val="clear" w:color="000000" w:fill="808080"/>
            <w:noWrap/>
            <w:vAlign w:val="bottom"/>
            <w:hideMark/>
          </w:tcPr>
          <w:p w14:paraId="6A96BB0D" w14:textId="77777777" w:rsidR="00F638BC" w:rsidRPr="00F638BC" w:rsidRDefault="00F638BC" w:rsidP="00F638BC">
            <w:pPr>
              <w:spacing w:before="0" w:after="0" w:line="240" w:lineRule="auto"/>
              <w:contextualSpacing/>
              <w:jc w:val="right"/>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N/A</w:t>
            </w:r>
          </w:p>
        </w:tc>
      </w:tr>
      <w:tr w:rsidR="00F638BC" w:rsidRPr="00F638BC" w14:paraId="7C6E3878" w14:textId="77777777" w:rsidTr="00F638BC">
        <w:trPr>
          <w:trHeight w:val="20"/>
        </w:trPr>
        <w:tc>
          <w:tcPr>
            <w:tcW w:w="233" w:type="pct"/>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21F2954D"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single" w:sz="4" w:space="0" w:color="FFFFFF"/>
              <w:left w:val="nil"/>
              <w:bottom w:val="single" w:sz="4" w:space="0" w:color="FFFFFF"/>
              <w:right w:val="single" w:sz="4" w:space="0" w:color="FFFFFF"/>
            </w:tcBorders>
            <w:shd w:val="clear" w:color="auto" w:fill="auto"/>
            <w:noWrap/>
            <w:vAlign w:val="bottom"/>
            <w:hideMark/>
          </w:tcPr>
          <w:p w14:paraId="72567825" w14:textId="77777777" w:rsidR="00F638BC" w:rsidRPr="00F638BC" w:rsidRDefault="00F638BC" w:rsidP="00F638BC">
            <w:pPr>
              <w:spacing w:before="0" w:after="0" w:line="240" w:lineRule="auto"/>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Soil management</w:t>
            </w:r>
          </w:p>
        </w:tc>
        <w:tc>
          <w:tcPr>
            <w:tcW w:w="2240" w:type="pct"/>
            <w:tcBorders>
              <w:top w:val="single" w:sz="4" w:space="0" w:color="FFFFFF"/>
              <w:left w:val="nil"/>
              <w:bottom w:val="single" w:sz="4" w:space="0" w:color="FFFFFF"/>
              <w:right w:val="single" w:sz="4" w:space="0" w:color="FFFFFF"/>
            </w:tcBorders>
            <w:shd w:val="clear" w:color="auto" w:fill="auto"/>
            <w:noWrap/>
            <w:vAlign w:val="bottom"/>
            <w:hideMark/>
          </w:tcPr>
          <w:p w14:paraId="7A4C2716" w14:textId="77777777" w:rsidR="00F638BC" w:rsidRPr="00F638BC" w:rsidRDefault="00F638BC" w:rsidP="00F638BC">
            <w:pPr>
              <w:spacing w:before="0" w:after="0" w:line="240" w:lineRule="auto"/>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439" w:type="pct"/>
            <w:tcBorders>
              <w:top w:val="single" w:sz="4" w:space="0" w:color="FFFFFF"/>
              <w:left w:val="nil"/>
              <w:bottom w:val="single" w:sz="4" w:space="0" w:color="FFFFFF"/>
              <w:right w:val="single" w:sz="4" w:space="0" w:color="FFFFFF"/>
            </w:tcBorders>
            <w:shd w:val="clear" w:color="auto" w:fill="auto"/>
            <w:noWrap/>
            <w:vAlign w:val="bottom"/>
            <w:hideMark/>
          </w:tcPr>
          <w:p w14:paraId="56847CBD"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N/A</w:t>
            </w:r>
          </w:p>
        </w:tc>
        <w:tc>
          <w:tcPr>
            <w:tcW w:w="449" w:type="pct"/>
            <w:tcBorders>
              <w:top w:val="single" w:sz="4" w:space="0" w:color="FFFFFF"/>
              <w:left w:val="nil"/>
              <w:bottom w:val="single" w:sz="4" w:space="0" w:color="FFFFFF"/>
              <w:right w:val="single" w:sz="4" w:space="0" w:color="FFFFFF"/>
            </w:tcBorders>
            <w:shd w:val="clear" w:color="auto" w:fill="auto"/>
            <w:noWrap/>
            <w:vAlign w:val="bottom"/>
            <w:hideMark/>
          </w:tcPr>
          <w:p w14:paraId="33B24157"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N/A</w:t>
            </w:r>
          </w:p>
        </w:tc>
        <w:tc>
          <w:tcPr>
            <w:tcW w:w="478" w:type="pct"/>
            <w:tcBorders>
              <w:top w:val="single" w:sz="4" w:space="0" w:color="FFFFFF"/>
              <w:left w:val="nil"/>
              <w:bottom w:val="single" w:sz="4" w:space="0" w:color="FFFFFF"/>
              <w:right w:val="single" w:sz="4" w:space="0" w:color="FFFFFF"/>
            </w:tcBorders>
            <w:shd w:val="clear" w:color="auto" w:fill="auto"/>
            <w:noWrap/>
            <w:vAlign w:val="bottom"/>
            <w:hideMark/>
          </w:tcPr>
          <w:p w14:paraId="588188E9"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N/A</w:t>
            </w:r>
          </w:p>
        </w:tc>
      </w:tr>
      <w:tr w:rsidR="00F638BC" w:rsidRPr="00F638BC" w14:paraId="234CB12A" w14:textId="77777777" w:rsidTr="00F638BC">
        <w:trPr>
          <w:trHeight w:val="20"/>
        </w:trPr>
        <w:tc>
          <w:tcPr>
            <w:tcW w:w="233" w:type="pct"/>
            <w:tcBorders>
              <w:top w:val="nil"/>
              <w:left w:val="single" w:sz="4" w:space="0" w:color="FFFFFF"/>
              <w:bottom w:val="single" w:sz="12" w:space="0" w:color="FFFFFF"/>
              <w:right w:val="single" w:sz="4" w:space="0" w:color="FFFFFF"/>
            </w:tcBorders>
            <w:shd w:val="clear" w:color="auto" w:fill="auto"/>
            <w:noWrap/>
            <w:vAlign w:val="bottom"/>
            <w:hideMark/>
          </w:tcPr>
          <w:p w14:paraId="2B794E07" w14:textId="77777777" w:rsidR="00F638BC" w:rsidRPr="00F638BC" w:rsidRDefault="00F638BC" w:rsidP="00F638BC">
            <w:pPr>
              <w:spacing w:before="0" w:after="0" w:line="240" w:lineRule="auto"/>
              <w:ind w:firstLineChars="100" w:firstLine="180"/>
              <w:contextualSpacing/>
              <w:rPr>
                <w:rFonts w:ascii="Calibri" w:eastAsia="Times New Roman" w:hAnsi="Calibri" w:cs="Calibri"/>
                <w:color w:val="000000"/>
                <w:sz w:val="18"/>
                <w:szCs w:val="18"/>
              </w:rPr>
            </w:pPr>
            <w:r w:rsidRPr="00F638BC">
              <w:rPr>
                <w:rFonts w:ascii="Calibri" w:eastAsia="Times New Roman" w:hAnsi="Calibri" w:cs="Calibri"/>
                <w:color w:val="000000"/>
                <w:sz w:val="18"/>
                <w:szCs w:val="18"/>
              </w:rPr>
              <w:t> </w:t>
            </w:r>
          </w:p>
        </w:tc>
        <w:tc>
          <w:tcPr>
            <w:tcW w:w="1161" w:type="pct"/>
            <w:tcBorders>
              <w:top w:val="nil"/>
              <w:left w:val="nil"/>
              <w:bottom w:val="single" w:sz="12" w:space="0" w:color="FFFFFF"/>
              <w:right w:val="single" w:sz="4" w:space="0" w:color="FFFFFF"/>
            </w:tcBorders>
            <w:shd w:val="clear" w:color="auto" w:fill="auto"/>
            <w:noWrap/>
            <w:vAlign w:val="bottom"/>
            <w:hideMark/>
          </w:tcPr>
          <w:p w14:paraId="67B334E3"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Residential development</w:t>
            </w:r>
          </w:p>
        </w:tc>
        <w:tc>
          <w:tcPr>
            <w:tcW w:w="2240" w:type="pct"/>
            <w:tcBorders>
              <w:top w:val="nil"/>
              <w:left w:val="nil"/>
              <w:bottom w:val="single" w:sz="12" w:space="0" w:color="FFFFFF"/>
              <w:right w:val="single" w:sz="4" w:space="0" w:color="FFFFFF"/>
            </w:tcBorders>
            <w:shd w:val="clear" w:color="auto" w:fill="auto"/>
            <w:noWrap/>
            <w:vAlign w:val="bottom"/>
            <w:hideMark/>
          </w:tcPr>
          <w:p w14:paraId="6100DA34" w14:textId="77777777" w:rsidR="00F638BC" w:rsidRPr="00F638BC" w:rsidRDefault="00F638BC" w:rsidP="00F638BC">
            <w:pPr>
              <w:spacing w:before="0" w:after="0" w:line="240" w:lineRule="auto"/>
              <w:contextualSpacing/>
              <w:rPr>
                <w:rFonts w:ascii="Calibri" w:eastAsia="Times New Roman" w:hAnsi="Calibri" w:cs="Calibri"/>
                <w:sz w:val="18"/>
                <w:szCs w:val="18"/>
              </w:rPr>
            </w:pPr>
            <w:r w:rsidRPr="00F638BC">
              <w:rPr>
                <w:rFonts w:ascii="Calibri" w:eastAsia="Times New Roman" w:hAnsi="Calibri" w:cs="Calibri"/>
                <w:sz w:val="18"/>
                <w:szCs w:val="18"/>
              </w:rPr>
              <w:t> </w:t>
            </w:r>
          </w:p>
        </w:tc>
        <w:tc>
          <w:tcPr>
            <w:tcW w:w="439" w:type="pct"/>
            <w:tcBorders>
              <w:top w:val="nil"/>
              <w:left w:val="nil"/>
              <w:bottom w:val="single" w:sz="4" w:space="0" w:color="FFFFFF"/>
              <w:right w:val="single" w:sz="4" w:space="0" w:color="FFFFFF"/>
            </w:tcBorders>
            <w:shd w:val="clear" w:color="auto" w:fill="auto"/>
            <w:noWrap/>
            <w:vAlign w:val="bottom"/>
            <w:hideMark/>
          </w:tcPr>
          <w:p w14:paraId="78BFF2C0"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N/A</w:t>
            </w:r>
          </w:p>
        </w:tc>
        <w:tc>
          <w:tcPr>
            <w:tcW w:w="449" w:type="pct"/>
            <w:tcBorders>
              <w:top w:val="nil"/>
              <w:left w:val="nil"/>
              <w:bottom w:val="single" w:sz="4" w:space="0" w:color="FFFFFF"/>
              <w:right w:val="single" w:sz="4" w:space="0" w:color="FFFFFF"/>
            </w:tcBorders>
            <w:shd w:val="clear" w:color="auto" w:fill="auto"/>
            <w:noWrap/>
            <w:vAlign w:val="bottom"/>
            <w:hideMark/>
          </w:tcPr>
          <w:p w14:paraId="76D0A53C"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N/A</w:t>
            </w:r>
          </w:p>
        </w:tc>
        <w:tc>
          <w:tcPr>
            <w:tcW w:w="478" w:type="pct"/>
            <w:tcBorders>
              <w:top w:val="nil"/>
              <w:left w:val="nil"/>
              <w:bottom w:val="single" w:sz="4" w:space="0" w:color="FFFFFF"/>
              <w:right w:val="single" w:sz="4" w:space="0" w:color="FFFFFF"/>
            </w:tcBorders>
            <w:shd w:val="clear" w:color="auto" w:fill="auto"/>
            <w:noWrap/>
            <w:vAlign w:val="bottom"/>
            <w:hideMark/>
          </w:tcPr>
          <w:p w14:paraId="3D5FE7CE" w14:textId="77777777" w:rsidR="00F638BC" w:rsidRPr="00F638BC" w:rsidRDefault="00F638BC" w:rsidP="00F638BC">
            <w:pPr>
              <w:spacing w:before="0" w:after="0" w:line="240" w:lineRule="auto"/>
              <w:contextualSpacing/>
              <w:jc w:val="right"/>
              <w:rPr>
                <w:rFonts w:ascii="Calibri" w:eastAsia="Times New Roman" w:hAnsi="Calibri" w:cs="Calibri"/>
                <w:sz w:val="18"/>
                <w:szCs w:val="18"/>
              </w:rPr>
            </w:pPr>
            <w:r w:rsidRPr="00F638BC">
              <w:rPr>
                <w:rFonts w:ascii="Calibri" w:eastAsia="Times New Roman" w:hAnsi="Calibri" w:cs="Calibri"/>
                <w:sz w:val="18"/>
                <w:szCs w:val="18"/>
              </w:rPr>
              <w:t>N/A</w:t>
            </w:r>
          </w:p>
        </w:tc>
      </w:tr>
      <w:tr w:rsidR="00F638BC" w:rsidRPr="00F638BC" w14:paraId="67FF9352" w14:textId="77777777" w:rsidTr="00F638BC">
        <w:trPr>
          <w:trHeight w:val="20"/>
        </w:trPr>
        <w:tc>
          <w:tcPr>
            <w:tcW w:w="3634" w:type="pct"/>
            <w:gridSpan w:val="3"/>
            <w:tcBorders>
              <w:top w:val="single" w:sz="12" w:space="0" w:color="FFFFFF"/>
              <w:left w:val="single" w:sz="4" w:space="0" w:color="FFFFFF"/>
              <w:bottom w:val="single" w:sz="12" w:space="0" w:color="FFFFFF"/>
              <w:right w:val="nil"/>
            </w:tcBorders>
            <w:shd w:val="clear" w:color="000000" w:fill="000000"/>
            <w:noWrap/>
            <w:vAlign w:val="bottom"/>
            <w:hideMark/>
          </w:tcPr>
          <w:p w14:paraId="50355E3D" w14:textId="77777777" w:rsidR="00F638BC" w:rsidRPr="00F638BC" w:rsidRDefault="00F638BC" w:rsidP="00F638BC">
            <w:pPr>
              <w:spacing w:before="0" w:after="0" w:line="240" w:lineRule="auto"/>
              <w:ind w:firstLineChars="100" w:firstLine="180"/>
              <w:contextualSpacing/>
              <w:rPr>
                <w:rFonts w:ascii="Calibri" w:eastAsia="Times New Roman" w:hAnsi="Calibri" w:cs="Calibri"/>
                <w:b/>
                <w:bCs/>
                <w:color w:val="FFFFFF"/>
                <w:sz w:val="18"/>
                <w:szCs w:val="18"/>
              </w:rPr>
            </w:pPr>
            <w:r w:rsidRPr="00F638BC">
              <w:rPr>
                <w:rFonts w:ascii="Calibri" w:eastAsia="Times New Roman" w:hAnsi="Calibri" w:cs="Calibri"/>
                <w:b/>
                <w:bCs/>
                <w:color w:val="FFFFFF"/>
                <w:sz w:val="18"/>
                <w:szCs w:val="18"/>
              </w:rPr>
              <w:t>Total Emissions</w:t>
            </w:r>
          </w:p>
        </w:tc>
        <w:tc>
          <w:tcPr>
            <w:tcW w:w="439" w:type="pct"/>
            <w:tcBorders>
              <w:top w:val="nil"/>
              <w:left w:val="nil"/>
              <w:bottom w:val="single" w:sz="12" w:space="0" w:color="FFFFFF"/>
              <w:right w:val="nil"/>
            </w:tcBorders>
            <w:shd w:val="clear" w:color="000000" w:fill="000000"/>
            <w:noWrap/>
            <w:vAlign w:val="bottom"/>
            <w:hideMark/>
          </w:tcPr>
          <w:p w14:paraId="2A6D3D07" w14:textId="77777777" w:rsidR="00F638BC" w:rsidRPr="00F638BC" w:rsidRDefault="00F638BC" w:rsidP="00F638BC">
            <w:pPr>
              <w:spacing w:before="0" w:after="0" w:line="240" w:lineRule="auto"/>
              <w:contextualSpacing/>
              <w:rPr>
                <w:rFonts w:ascii="Calibri" w:eastAsia="Times New Roman" w:hAnsi="Calibri" w:cs="Calibri"/>
                <w:b/>
                <w:bCs/>
                <w:color w:val="FFFFFF"/>
                <w:szCs w:val="20"/>
              </w:rPr>
            </w:pPr>
            <w:r w:rsidRPr="00F638BC">
              <w:rPr>
                <w:rFonts w:ascii="Calibri" w:eastAsia="Times New Roman" w:hAnsi="Calibri" w:cs="Calibri"/>
                <w:b/>
                <w:bCs/>
                <w:color w:val="FFFFFF"/>
                <w:szCs w:val="20"/>
              </w:rPr>
              <w:t> </w:t>
            </w:r>
          </w:p>
        </w:tc>
        <w:tc>
          <w:tcPr>
            <w:tcW w:w="449" w:type="pct"/>
            <w:tcBorders>
              <w:top w:val="nil"/>
              <w:left w:val="nil"/>
              <w:bottom w:val="single" w:sz="12" w:space="0" w:color="FFFFFF"/>
              <w:right w:val="nil"/>
            </w:tcBorders>
            <w:shd w:val="clear" w:color="000000" w:fill="000000"/>
            <w:noWrap/>
            <w:vAlign w:val="bottom"/>
            <w:hideMark/>
          </w:tcPr>
          <w:p w14:paraId="3BCAFA7A" w14:textId="77777777" w:rsidR="00F638BC" w:rsidRPr="00F638BC" w:rsidRDefault="00F638BC" w:rsidP="00F638BC">
            <w:pPr>
              <w:spacing w:before="0" w:after="0" w:line="240" w:lineRule="auto"/>
              <w:contextualSpacing/>
              <w:rPr>
                <w:rFonts w:ascii="Calibri" w:eastAsia="Times New Roman" w:hAnsi="Calibri" w:cs="Calibri"/>
                <w:b/>
                <w:bCs/>
                <w:color w:val="FFFFFF"/>
                <w:szCs w:val="20"/>
              </w:rPr>
            </w:pPr>
            <w:r w:rsidRPr="00F638BC">
              <w:rPr>
                <w:rFonts w:ascii="Calibri" w:eastAsia="Times New Roman" w:hAnsi="Calibri" w:cs="Calibri"/>
                <w:b/>
                <w:bCs/>
                <w:color w:val="FFFFFF"/>
                <w:szCs w:val="20"/>
              </w:rPr>
              <w:t> </w:t>
            </w:r>
          </w:p>
        </w:tc>
        <w:tc>
          <w:tcPr>
            <w:tcW w:w="478" w:type="pct"/>
            <w:tcBorders>
              <w:top w:val="nil"/>
              <w:left w:val="nil"/>
              <w:bottom w:val="single" w:sz="12" w:space="0" w:color="FFFFFF"/>
              <w:right w:val="single" w:sz="4" w:space="0" w:color="FFFFFF"/>
            </w:tcBorders>
            <w:shd w:val="clear" w:color="000000" w:fill="000000"/>
            <w:noWrap/>
            <w:vAlign w:val="bottom"/>
            <w:hideMark/>
          </w:tcPr>
          <w:p w14:paraId="74F7F85A" w14:textId="77777777" w:rsidR="00F638BC" w:rsidRPr="00F638BC" w:rsidRDefault="00F638BC" w:rsidP="00F638BC">
            <w:pPr>
              <w:spacing w:before="0" w:after="0" w:line="240" w:lineRule="auto"/>
              <w:contextualSpacing/>
              <w:rPr>
                <w:rFonts w:ascii="Calibri" w:eastAsia="Times New Roman" w:hAnsi="Calibri" w:cs="Calibri"/>
                <w:b/>
                <w:bCs/>
                <w:color w:val="FFFFFF"/>
                <w:szCs w:val="20"/>
              </w:rPr>
            </w:pPr>
            <w:r w:rsidRPr="00F638BC">
              <w:rPr>
                <w:rFonts w:ascii="Calibri" w:eastAsia="Times New Roman" w:hAnsi="Calibri" w:cs="Calibri"/>
                <w:b/>
                <w:bCs/>
                <w:color w:val="FFFFFF"/>
                <w:szCs w:val="20"/>
              </w:rPr>
              <w:t> </w:t>
            </w:r>
          </w:p>
        </w:tc>
      </w:tr>
      <w:tr w:rsidR="00F638BC" w:rsidRPr="00F638BC" w14:paraId="57BD8F11" w14:textId="77777777" w:rsidTr="00F638BC">
        <w:trPr>
          <w:trHeight w:val="20"/>
        </w:trPr>
        <w:tc>
          <w:tcPr>
            <w:tcW w:w="233" w:type="pct"/>
            <w:tcBorders>
              <w:top w:val="nil"/>
              <w:left w:val="single" w:sz="4" w:space="0" w:color="FFFFFF"/>
              <w:bottom w:val="single" w:sz="12" w:space="0" w:color="FFFFFF"/>
              <w:right w:val="single" w:sz="4" w:space="0" w:color="FFFFFF"/>
            </w:tcBorders>
            <w:shd w:val="clear" w:color="auto" w:fill="auto"/>
            <w:noWrap/>
            <w:vAlign w:val="bottom"/>
            <w:hideMark/>
          </w:tcPr>
          <w:p w14:paraId="52C3B017" w14:textId="77777777" w:rsidR="00F638BC" w:rsidRPr="00F638BC" w:rsidRDefault="00F638BC" w:rsidP="00F638BC">
            <w:pPr>
              <w:spacing w:before="0" w:after="0" w:line="240" w:lineRule="auto"/>
              <w:ind w:firstLineChars="100" w:firstLine="180"/>
              <w:contextualSpacing/>
              <w:rPr>
                <w:rFonts w:ascii="Calibri" w:eastAsia="Times New Roman" w:hAnsi="Calibri" w:cs="Calibri"/>
                <w:b/>
                <w:bCs/>
                <w:color w:val="000000"/>
                <w:sz w:val="18"/>
                <w:szCs w:val="18"/>
              </w:rPr>
            </w:pPr>
            <w:r w:rsidRPr="00F638BC">
              <w:rPr>
                <w:rFonts w:ascii="Calibri" w:eastAsia="Times New Roman" w:hAnsi="Calibri" w:cs="Calibri"/>
                <w:b/>
                <w:bCs/>
                <w:color w:val="000000"/>
                <w:sz w:val="18"/>
                <w:szCs w:val="18"/>
              </w:rPr>
              <w:t> </w:t>
            </w:r>
          </w:p>
        </w:tc>
        <w:tc>
          <w:tcPr>
            <w:tcW w:w="1161" w:type="pct"/>
            <w:tcBorders>
              <w:top w:val="nil"/>
              <w:left w:val="nil"/>
              <w:bottom w:val="single" w:sz="12" w:space="0" w:color="FFFFFF"/>
              <w:right w:val="single" w:sz="4" w:space="0" w:color="FFFFFF"/>
            </w:tcBorders>
            <w:shd w:val="clear" w:color="auto" w:fill="auto"/>
            <w:noWrap/>
            <w:vAlign w:val="bottom"/>
            <w:hideMark/>
          </w:tcPr>
          <w:p w14:paraId="3847537F" w14:textId="77777777" w:rsidR="00F638BC" w:rsidRPr="00F638BC" w:rsidRDefault="00F638BC" w:rsidP="00F638BC">
            <w:pPr>
              <w:spacing w:before="0" w:after="0" w:line="240" w:lineRule="auto"/>
              <w:contextualSpacing/>
              <w:rPr>
                <w:rFonts w:ascii="Calibri" w:eastAsia="Times New Roman" w:hAnsi="Calibri" w:cs="Calibri"/>
                <w:b/>
                <w:bCs/>
                <w:color w:val="000000"/>
                <w:szCs w:val="20"/>
              </w:rPr>
            </w:pPr>
            <w:r w:rsidRPr="00F638BC">
              <w:rPr>
                <w:rFonts w:ascii="Calibri" w:eastAsia="Times New Roman" w:hAnsi="Calibri" w:cs="Calibri"/>
                <w:b/>
                <w:bCs/>
                <w:color w:val="000000"/>
                <w:szCs w:val="20"/>
              </w:rPr>
              <w:t>Core &amp; Expanded Production</w:t>
            </w:r>
          </w:p>
        </w:tc>
        <w:tc>
          <w:tcPr>
            <w:tcW w:w="2240" w:type="pct"/>
            <w:tcBorders>
              <w:top w:val="nil"/>
              <w:left w:val="nil"/>
              <w:bottom w:val="single" w:sz="12" w:space="0" w:color="FFFFFF"/>
              <w:right w:val="single" w:sz="4" w:space="0" w:color="FFFFFF"/>
            </w:tcBorders>
            <w:shd w:val="clear" w:color="auto" w:fill="auto"/>
            <w:noWrap/>
            <w:vAlign w:val="bottom"/>
            <w:hideMark/>
          </w:tcPr>
          <w:p w14:paraId="235B139E" w14:textId="77777777" w:rsidR="00F638BC" w:rsidRPr="00F638BC" w:rsidRDefault="00F638BC" w:rsidP="00F638BC">
            <w:pPr>
              <w:spacing w:before="0" w:after="0" w:line="240" w:lineRule="auto"/>
              <w:contextualSpacing/>
              <w:rPr>
                <w:rFonts w:ascii="Calibri" w:eastAsia="Times New Roman" w:hAnsi="Calibri" w:cs="Calibri"/>
                <w:b/>
                <w:bCs/>
                <w:szCs w:val="20"/>
              </w:rPr>
            </w:pPr>
            <w:r w:rsidRPr="00F638BC">
              <w:rPr>
                <w:rFonts w:ascii="Calibri" w:eastAsia="Times New Roman" w:hAnsi="Calibri" w:cs="Calibri"/>
                <w:b/>
                <w:bCs/>
                <w:szCs w:val="20"/>
              </w:rPr>
              <w:t> </w:t>
            </w:r>
          </w:p>
        </w:tc>
        <w:tc>
          <w:tcPr>
            <w:tcW w:w="439" w:type="pct"/>
            <w:tcBorders>
              <w:top w:val="nil"/>
              <w:left w:val="nil"/>
              <w:bottom w:val="single" w:sz="12" w:space="0" w:color="FFFFFF"/>
              <w:right w:val="single" w:sz="4" w:space="0" w:color="FFFFFF"/>
            </w:tcBorders>
            <w:shd w:val="clear" w:color="auto" w:fill="auto"/>
            <w:noWrap/>
            <w:vAlign w:val="bottom"/>
            <w:hideMark/>
          </w:tcPr>
          <w:p w14:paraId="780C5E20" w14:textId="77777777" w:rsidR="00F638BC" w:rsidRPr="00F638BC" w:rsidRDefault="00F638BC" w:rsidP="00F638BC">
            <w:pPr>
              <w:spacing w:before="0" w:after="0" w:line="240" w:lineRule="auto"/>
              <w:contextualSpacing/>
              <w:jc w:val="right"/>
              <w:rPr>
                <w:rFonts w:ascii="Calibri" w:eastAsia="Times New Roman" w:hAnsi="Calibri" w:cs="Calibri"/>
                <w:b/>
                <w:bCs/>
                <w:szCs w:val="20"/>
              </w:rPr>
            </w:pPr>
            <w:r w:rsidRPr="00F638BC">
              <w:rPr>
                <w:rFonts w:ascii="Calibri" w:eastAsia="Times New Roman" w:hAnsi="Calibri" w:cs="Calibri"/>
                <w:b/>
                <w:bCs/>
                <w:szCs w:val="20"/>
              </w:rPr>
              <w:t>100.0%</w:t>
            </w:r>
          </w:p>
        </w:tc>
        <w:tc>
          <w:tcPr>
            <w:tcW w:w="449" w:type="pct"/>
            <w:tcBorders>
              <w:top w:val="nil"/>
              <w:left w:val="nil"/>
              <w:bottom w:val="single" w:sz="12" w:space="0" w:color="FFFFFF"/>
              <w:right w:val="single" w:sz="4" w:space="0" w:color="FFFFFF"/>
            </w:tcBorders>
            <w:shd w:val="clear" w:color="auto" w:fill="auto"/>
            <w:noWrap/>
            <w:vAlign w:val="bottom"/>
            <w:hideMark/>
          </w:tcPr>
          <w:p w14:paraId="0D83E7A4" w14:textId="77777777" w:rsidR="00F638BC" w:rsidRPr="00F638BC" w:rsidRDefault="00F638BC" w:rsidP="00F638BC">
            <w:pPr>
              <w:spacing w:before="0" w:after="0" w:line="240" w:lineRule="auto"/>
              <w:contextualSpacing/>
              <w:jc w:val="right"/>
              <w:rPr>
                <w:rFonts w:ascii="Calibri" w:eastAsia="Times New Roman" w:hAnsi="Calibri" w:cs="Calibri"/>
                <w:b/>
                <w:bCs/>
                <w:szCs w:val="20"/>
              </w:rPr>
            </w:pPr>
            <w:r w:rsidRPr="00F638BC">
              <w:rPr>
                <w:rFonts w:ascii="Calibri" w:eastAsia="Times New Roman" w:hAnsi="Calibri" w:cs="Calibri"/>
                <w:b/>
                <w:bCs/>
                <w:szCs w:val="20"/>
              </w:rPr>
              <w:t>100.0%</w:t>
            </w:r>
          </w:p>
        </w:tc>
        <w:tc>
          <w:tcPr>
            <w:tcW w:w="478" w:type="pct"/>
            <w:tcBorders>
              <w:top w:val="nil"/>
              <w:left w:val="nil"/>
              <w:bottom w:val="single" w:sz="12" w:space="0" w:color="FFFFFF"/>
              <w:right w:val="single" w:sz="4" w:space="0" w:color="FFFFFF"/>
            </w:tcBorders>
            <w:shd w:val="clear" w:color="auto" w:fill="auto"/>
            <w:noWrap/>
            <w:vAlign w:val="bottom"/>
            <w:hideMark/>
          </w:tcPr>
          <w:p w14:paraId="185A355A" w14:textId="77777777" w:rsidR="00F638BC" w:rsidRPr="00F638BC" w:rsidRDefault="00F638BC" w:rsidP="00F638BC">
            <w:pPr>
              <w:spacing w:before="0" w:after="0" w:line="240" w:lineRule="auto"/>
              <w:contextualSpacing/>
              <w:jc w:val="right"/>
              <w:rPr>
                <w:rFonts w:ascii="Calibri" w:eastAsia="Times New Roman" w:hAnsi="Calibri" w:cs="Calibri"/>
                <w:b/>
                <w:bCs/>
                <w:szCs w:val="20"/>
              </w:rPr>
            </w:pPr>
            <w:r w:rsidRPr="00F638BC">
              <w:rPr>
                <w:rFonts w:ascii="Calibri" w:eastAsia="Times New Roman" w:hAnsi="Calibri" w:cs="Calibri"/>
                <w:b/>
                <w:bCs/>
                <w:szCs w:val="20"/>
              </w:rPr>
              <w:t>100.0%</w:t>
            </w:r>
          </w:p>
        </w:tc>
      </w:tr>
      <w:tr w:rsidR="00F638BC" w:rsidRPr="00F638BC" w14:paraId="21D58E56" w14:textId="77777777" w:rsidTr="00F638BC">
        <w:trPr>
          <w:trHeight w:val="20"/>
        </w:trPr>
        <w:tc>
          <w:tcPr>
            <w:tcW w:w="233" w:type="pct"/>
            <w:tcBorders>
              <w:top w:val="nil"/>
              <w:left w:val="single" w:sz="4" w:space="0" w:color="FFFFFF"/>
              <w:bottom w:val="nil"/>
              <w:right w:val="single" w:sz="4" w:space="0" w:color="FFFFFF"/>
            </w:tcBorders>
            <w:shd w:val="clear" w:color="auto" w:fill="auto"/>
            <w:noWrap/>
            <w:vAlign w:val="center"/>
            <w:hideMark/>
          </w:tcPr>
          <w:p w14:paraId="1E26630F" w14:textId="77777777" w:rsidR="00F638BC" w:rsidRPr="00F638BC" w:rsidRDefault="00F638BC" w:rsidP="00F638BC">
            <w:pPr>
              <w:spacing w:before="0" w:after="0" w:line="240" w:lineRule="auto"/>
              <w:ind w:firstLineChars="100" w:firstLine="180"/>
              <w:contextualSpacing/>
              <w:rPr>
                <w:rFonts w:ascii="Calibri" w:eastAsia="Times New Roman" w:hAnsi="Calibri" w:cs="Calibri"/>
                <w:b/>
                <w:bCs/>
                <w:color w:val="000000"/>
                <w:sz w:val="18"/>
                <w:szCs w:val="18"/>
              </w:rPr>
            </w:pPr>
            <w:r w:rsidRPr="00F638BC">
              <w:rPr>
                <w:rFonts w:ascii="Calibri" w:eastAsia="Times New Roman" w:hAnsi="Calibri" w:cs="Calibri"/>
                <w:b/>
                <w:bCs/>
                <w:color w:val="000000"/>
                <w:sz w:val="18"/>
                <w:szCs w:val="18"/>
              </w:rPr>
              <w:t> </w:t>
            </w:r>
          </w:p>
        </w:tc>
        <w:tc>
          <w:tcPr>
            <w:tcW w:w="1161" w:type="pct"/>
            <w:tcBorders>
              <w:top w:val="nil"/>
              <w:left w:val="nil"/>
              <w:bottom w:val="nil"/>
              <w:right w:val="single" w:sz="4" w:space="0" w:color="FFFFFF"/>
            </w:tcBorders>
            <w:shd w:val="clear" w:color="auto" w:fill="auto"/>
            <w:noWrap/>
            <w:vAlign w:val="center"/>
            <w:hideMark/>
          </w:tcPr>
          <w:p w14:paraId="41B2EECC" w14:textId="77777777" w:rsidR="00F638BC" w:rsidRPr="00F638BC" w:rsidRDefault="00F638BC" w:rsidP="00F638BC">
            <w:pPr>
              <w:spacing w:before="0" w:after="0" w:line="240" w:lineRule="auto"/>
              <w:contextualSpacing/>
              <w:rPr>
                <w:rFonts w:ascii="Calibri" w:eastAsia="Times New Roman" w:hAnsi="Calibri" w:cs="Calibri"/>
                <w:b/>
                <w:bCs/>
                <w:color w:val="000000"/>
                <w:szCs w:val="20"/>
              </w:rPr>
            </w:pPr>
            <w:r w:rsidRPr="00F638BC">
              <w:rPr>
                <w:rFonts w:ascii="Calibri" w:eastAsia="Times New Roman" w:hAnsi="Calibri" w:cs="Calibri"/>
                <w:b/>
                <w:bCs/>
                <w:color w:val="000000"/>
                <w:szCs w:val="20"/>
              </w:rPr>
              <w:t> </w:t>
            </w:r>
          </w:p>
        </w:tc>
        <w:tc>
          <w:tcPr>
            <w:tcW w:w="2240" w:type="pct"/>
            <w:tcBorders>
              <w:top w:val="nil"/>
              <w:left w:val="nil"/>
              <w:bottom w:val="nil"/>
              <w:right w:val="single" w:sz="4" w:space="0" w:color="FFFFFF"/>
            </w:tcBorders>
            <w:shd w:val="clear" w:color="auto" w:fill="auto"/>
            <w:noWrap/>
            <w:vAlign w:val="center"/>
            <w:hideMark/>
          </w:tcPr>
          <w:p w14:paraId="087FD25E" w14:textId="77777777" w:rsidR="00F638BC" w:rsidRPr="00F638BC" w:rsidRDefault="00F638BC" w:rsidP="00F638BC">
            <w:pPr>
              <w:spacing w:before="0" w:after="0" w:line="240" w:lineRule="auto"/>
              <w:contextualSpacing/>
              <w:rPr>
                <w:rFonts w:ascii="Calibri" w:eastAsia="Times New Roman" w:hAnsi="Calibri" w:cs="Calibri"/>
                <w:b/>
                <w:bCs/>
                <w:szCs w:val="20"/>
              </w:rPr>
            </w:pPr>
            <w:r w:rsidRPr="00F638BC">
              <w:rPr>
                <w:rFonts w:ascii="Calibri" w:eastAsia="Times New Roman" w:hAnsi="Calibri" w:cs="Calibri"/>
                <w:b/>
                <w:bCs/>
                <w:szCs w:val="20"/>
              </w:rPr>
              <w:t>Core</w:t>
            </w:r>
          </w:p>
        </w:tc>
        <w:tc>
          <w:tcPr>
            <w:tcW w:w="439" w:type="pct"/>
            <w:tcBorders>
              <w:top w:val="nil"/>
              <w:left w:val="nil"/>
              <w:bottom w:val="nil"/>
              <w:right w:val="single" w:sz="4" w:space="0" w:color="FFFFFF"/>
            </w:tcBorders>
            <w:shd w:val="clear" w:color="auto" w:fill="auto"/>
            <w:noWrap/>
            <w:vAlign w:val="center"/>
            <w:hideMark/>
          </w:tcPr>
          <w:p w14:paraId="2AB613DA" w14:textId="77777777" w:rsidR="00F638BC" w:rsidRPr="00F638BC" w:rsidRDefault="00F638BC" w:rsidP="00F638BC">
            <w:pPr>
              <w:spacing w:before="0" w:after="0" w:line="240" w:lineRule="auto"/>
              <w:contextualSpacing/>
              <w:jc w:val="right"/>
              <w:rPr>
                <w:rFonts w:ascii="Calibri" w:eastAsia="Times New Roman" w:hAnsi="Calibri" w:cs="Calibri"/>
                <w:b/>
                <w:bCs/>
                <w:szCs w:val="20"/>
              </w:rPr>
            </w:pPr>
            <w:r w:rsidRPr="00F638BC">
              <w:rPr>
                <w:rFonts w:ascii="Calibri" w:eastAsia="Times New Roman" w:hAnsi="Calibri" w:cs="Calibri"/>
                <w:b/>
                <w:bCs/>
                <w:szCs w:val="20"/>
              </w:rPr>
              <w:t>71.0%</w:t>
            </w:r>
          </w:p>
        </w:tc>
        <w:tc>
          <w:tcPr>
            <w:tcW w:w="449" w:type="pct"/>
            <w:tcBorders>
              <w:top w:val="nil"/>
              <w:left w:val="nil"/>
              <w:bottom w:val="nil"/>
              <w:right w:val="single" w:sz="4" w:space="0" w:color="FFFFFF"/>
            </w:tcBorders>
            <w:shd w:val="clear" w:color="auto" w:fill="auto"/>
            <w:noWrap/>
            <w:vAlign w:val="center"/>
            <w:hideMark/>
          </w:tcPr>
          <w:p w14:paraId="26245269" w14:textId="77777777" w:rsidR="00F638BC" w:rsidRPr="00F638BC" w:rsidRDefault="00F638BC" w:rsidP="00F638BC">
            <w:pPr>
              <w:spacing w:before="0" w:after="0" w:line="240" w:lineRule="auto"/>
              <w:contextualSpacing/>
              <w:jc w:val="right"/>
              <w:rPr>
                <w:rFonts w:ascii="Calibri" w:eastAsia="Times New Roman" w:hAnsi="Calibri" w:cs="Calibri"/>
                <w:b/>
                <w:bCs/>
                <w:szCs w:val="20"/>
              </w:rPr>
            </w:pPr>
            <w:r w:rsidRPr="00F638BC">
              <w:rPr>
                <w:rFonts w:ascii="Calibri" w:eastAsia="Times New Roman" w:hAnsi="Calibri" w:cs="Calibri"/>
                <w:b/>
                <w:bCs/>
                <w:szCs w:val="20"/>
              </w:rPr>
              <w:t>71.2%</w:t>
            </w:r>
          </w:p>
        </w:tc>
        <w:tc>
          <w:tcPr>
            <w:tcW w:w="478" w:type="pct"/>
            <w:tcBorders>
              <w:top w:val="nil"/>
              <w:left w:val="nil"/>
              <w:bottom w:val="nil"/>
              <w:right w:val="single" w:sz="4" w:space="0" w:color="FFFFFF"/>
            </w:tcBorders>
            <w:shd w:val="clear" w:color="auto" w:fill="auto"/>
            <w:noWrap/>
            <w:vAlign w:val="center"/>
            <w:hideMark/>
          </w:tcPr>
          <w:p w14:paraId="5A7A532B" w14:textId="77777777" w:rsidR="00F638BC" w:rsidRPr="00F638BC" w:rsidRDefault="00F638BC" w:rsidP="00F638BC">
            <w:pPr>
              <w:spacing w:before="0" w:after="0" w:line="240" w:lineRule="auto"/>
              <w:contextualSpacing/>
              <w:jc w:val="right"/>
              <w:rPr>
                <w:rFonts w:ascii="Calibri" w:eastAsia="Times New Roman" w:hAnsi="Calibri" w:cs="Calibri"/>
                <w:b/>
                <w:bCs/>
                <w:szCs w:val="20"/>
              </w:rPr>
            </w:pPr>
            <w:r w:rsidRPr="00F638BC">
              <w:rPr>
                <w:rFonts w:ascii="Calibri" w:eastAsia="Times New Roman" w:hAnsi="Calibri" w:cs="Calibri"/>
                <w:b/>
                <w:bCs/>
                <w:szCs w:val="20"/>
              </w:rPr>
              <w:t>70.1%</w:t>
            </w:r>
          </w:p>
        </w:tc>
      </w:tr>
      <w:tr w:rsidR="00F638BC" w:rsidRPr="00F638BC" w14:paraId="20D2AC5F" w14:textId="77777777" w:rsidTr="00F638BC">
        <w:trPr>
          <w:trHeight w:val="20"/>
        </w:trPr>
        <w:tc>
          <w:tcPr>
            <w:tcW w:w="233" w:type="pct"/>
            <w:tcBorders>
              <w:top w:val="single" w:sz="12" w:space="0" w:color="FFFFFF"/>
              <w:left w:val="single" w:sz="4" w:space="0" w:color="FFFFFF"/>
              <w:bottom w:val="nil"/>
              <w:right w:val="single" w:sz="4" w:space="0" w:color="FFFFFF"/>
            </w:tcBorders>
            <w:shd w:val="clear" w:color="auto" w:fill="auto"/>
            <w:noWrap/>
            <w:hideMark/>
          </w:tcPr>
          <w:p w14:paraId="18C23A6F" w14:textId="77777777" w:rsidR="00F638BC" w:rsidRPr="00F638BC" w:rsidRDefault="00F638BC" w:rsidP="00F638BC">
            <w:pPr>
              <w:spacing w:before="0" w:after="0" w:line="240" w:lineRule="auto"/>
              <w:ind w:firstLineChars="100" w:firstLine="180"/>
              <w:contextualSpacing/>
              <w:rPr>
                <w:rFonts w:ascii="Calibri" w:eastAsia="Times New Roman" w:hAnsi="Calibri" w:cs="Calibri"/>
                <w:b/>
                <w:bCs/>
                <w:color w:val="000000"/>
                <w:sz w:val="18"/>
                <w:szCs w:val="18"/>
              </w:rPr>
            </w:pPr>
            <w:r w:rsidRPr="00F638BC">
              <w:rPr>
                <w:rFonts w:ascii="Calibri" w:eastAsia="Times New Roman" w:hAnsi="Calibri" w:cs="Calibri"/>
                <w:b/>
                <w:bCs/>
                <w:color w:val="000000"/>
                <w:sz w:val="18"/>
                <w:szCs w:val="18"/>
              </w:rPr>
              <w:t> </w:t>
            </w:r>
          </w:p>
        </w:tc>
        <w:tc>
          <w:tcPr>
            <w:tcW w:w="1161" w:type="pct"/>
            <w:tcBorders>
              <w:top w:val="single" w:sz="12" w:space="0" w:color="FFFFFF"/>
              <w:left w:val="nil"/>
              <w:bottom w:val="nil"/>
              <w:right w:val="single" w:sz="4" w:space="0" w:color="FFFFFF"/>
            </w:tcBorders>
            <w:shd w:val="clear" w:color="auto" w:fill="auto"/>
            <w:noWrap/>
            <w:hideMark/>
          </w:tcPr>
          <w:p w14:paraId="6E4868D9" w14:textId="77777777" w:rsidR="00F638BC" w:rsidRPr="00F638BC" w:rsidRDefault="00F638BC" w:rsidP="00F638BC">
            <w:pPr>
              <w:spacing w:before="0" w:after="0" w:line="240" w:lineRule="auto"/>
              <w:contextualSpacing/>
              <w:rPr>
                <w:rFonts w:ascii="Calibri" w:eastAsia="Times New Roman" w:hAnsi="Calibri" w:cs="Calibri"/>
                <w:b/>
                <w:bCs/>
                <w:szCs w:val="20"/>
              </w:rPr>
            </w:pPr>
            <w:r w:rsidRPr="00F638BC">
              <w:rPr>
                <w:rFonts w:ascii="Calibri" w:eastAsia="Times New Roman" w:hAnsi="Calibri" w:cs="Calibri"/>
                <w:b/>
                <w:bCs/>
                <w:szCs w:val="20"/>
              </w:rPr>
              <w:t> </w:t>
            </w:r>
          </w:p>
        </w:tc>
        <w:tc>
          <w:tcPr>
            <w:tcW w:w="2240" w:type="pct"/>
            <w:tcBorders>
              <w:top w:val="single" w:sz="12" w:space="0" w:color="FFFFFF"/>
              <w:left w:val="nil"/>
              <w:bottom w:val="nil"/>
              <w:right w:val="single" w:sz="4" w:space="0" w:color="FFFFFF"/>
            </w:tcBorders>
            <w:shd w:val="clear" w:color="auto" w:fill="auto"/>
            <w:noWrap/>
            <w:hideMark/>
          </w:tcPr>
          <w:p w14:paraId="6AEB3355" w14:textId="77777777" w:rsidR="00F638BC" w:rsidRPr="00F638BC" w:rsidRDefault="00F638BC" w:rsidP="00F638BC">
            <w:pPr>
              <w:spacing w:before="0" w:after="0" w:line="240" w:lineRule="auto"/>
              <w:contextualSpacing/>
              <w:rPr>
                <w:rFonts w:ascii="Calibri" w:eastAsia="Times New Roman" w:hAnsi="Calibri" w:cs="Calibri"/>
                <w:b/>
                <w:bCs/>
                <w:szCs w:val="20"/>
              </w:rPr>
            </w:pPr>
            <w:r w:rsidRPr="00F638BC">
              <w:rPr>
                <w:rFonts w:ascii="Calibri" w:eastAsia="Times New Roman" w:hAnsi="Calibri" w:cs="Calibri"/>
                <w:b/>
                <w:bCs/>
                <w:szCs w:val="20"/>
              </w:rPr>
              <w:t>Expanded: Production</w:t>
            </w:r>
          </w:p>
        </w:tc>
        <w:tc>
          <w:tcPr>
            <w:tcW w:w="439" w:type="pct"/>
            <w:tcBorders>
              <w:top w:val="single" w:sz="12" w:space="0" w:color="FFFFFF"/>
              <w:left w:val="nil"/>
              <w:bottom w:val="nil"/>
              <w:right w:val="single" w:sz="4" w:space="0" w:color="FFFFFF"/>
            </w:tcBorders>
            <w:shd w:val="clear" w:color="auto" w:fill="auto"/>
            <w:noWrap/>
            <w:hideMark/>
          </w:tcPr>
          <w:p w14:paraId="5C1D304C" w14:textId="77777777" w:rsidR="00F638BC" w:rsidRPr="00F638BC" w:rsidRDefault="00F638BC" w:rsidP="00F638BC">
            <w:pPr>
              <w:spacing w:before="0" w:after="0" w:line="240" w:lineRule="auto"/>
              <w:contextualSpacing/>
              <w:jc w:val="right"/>
              <w:rPr>
                <w:rFonts w:ascii="Calibri" w:eastAsia="Times New Roman" w:hAnsi="Calibri" w:cs="Calibri"/>
                <w:b/>
                <w:bCs/>
                <w:szCs w:val="20"/>
              </w:rPr>
            </w:pPr>
            <w:r w:rsidRPr="00F638BC">
              <w:rPr>
                <w:rFonts w:ascii="Calibri" w:eastAsia="Times New Roman" w:hAnsi="Calibri" w:cs="Calibri"/>
                <w:b/>
                <w:bCs/>
                <w:szCs w:val="20"/>
              </w:rPr>
              <w:t>29.0%</w:t>
            </w:r>
          </w:p>
        </w:tc>
        <w:tc>
          <w:tcPr>
            <w:tcW w:w="449" w:type="pct"/>
            <w:tcBorders>
              <w:top w:val="single" w:sz="12" w:space="0" w:color="FFFFFF"/>
              <w:left w:val="nil"/>
              <w:bottom w:val="nil"/>
              <w:right w:val="single" w:sz="4" w:space="0" w:color="FFFFFF"/>
            </w:tcBorders>
            <w:shd w:val="clear" w:color="auto" w:fill="auto"/>
            <w:noWrap/>
            <w:hideMark/>
          </w:tcPr>
          <w:p w14:paraId="66D2CD84" w14:textId="77777777" w:rsidR="00F638BC" w:rsidRPr="00F638BC" w:rsidRDefault="00F638BC" w:rsidP="00F638BC">
            <w:pPr>
              <w:spacing w:before="0" w:after="0" w:line="240" w:lineRule="auto"/>
              <w:contextualSpacing/>
              <w:jc w:val="right"/>
              <w:rPr>
                <w:rFonts w:ascii="Calibri" w:eastAsia="Times New Roman" w:hAnsi="Calibri" w:cs="Calibri"/>
                <w:b/>
                <w:bCs/>
                <w:szCs w:val="20"/>
              </w:rPr>
            </w:pPr>
            <w:r w:rsidRPr="00F638BC">
              <w:rPr>
                <w:rFonts w:ascii="Calibri" w:eastAsia="Times New Roman" w:hAnsi="Calibri" w:cs="Calibri"/>
                <w:b/>
                <w:bCs/>
                <w:szCs w:val="20"/>
              </w:rPr>
              <w:t>28.8%</w:t>
            </w:r>
          </w:p>
        </w:tc>
        <w:tc>
          <w:tcPr>
            <w:tcW w:w="478" w:type="pct"/>
            <w:tcBorders>
              <w:top w:val="single" w:sz="12" w:space="0" w:color="FFFFFF"/>
              <w:left w:val="nil"/>
              <w:bottom w:val="nil"/>
              <w:right w:val="single" w:sz="4" w:space="0" w:color="FFFFFF"/>
            </w:tcBorders>
            <w:shd w:val="clear" w:color="auto" w:fill="auto"/>
            <w:noWrap/>
            <w:hideMark/>
          </w:tcPr>
          <w:p w14:paraId="40232F19" w14:textId="77777777" w:rsidR="00F638BC" w:rsidRPr="00F638BC" w:rsidRDefault="00F638BC" w:rsidP="00F638BC">
            <w:pPr>
              <w:spacing w:before="0" w:after="0" w:line="240" w:lineRule="auto"/>
              <w:contextualSpacing/>
              <w:jc w:val="right"/>
              <w:rPr>
                <w:rFonts w:ascii="Calibri" w:eastAsia="Times New Roman" w:hAnsi="Calibri" w:cs="Calibri"/>
                <w:b/>
                <w:bCs/>
                <w:szCs w:val="20"/>
              </w:rPr>
            </w:pPr>
            <w:r w:rsidRPr="00F638BC">
              <w:rPr>
                <w:rFonts w:ascii="Calibri" w:eastAsia="Times New Roman" w:hAnsi="Calibri" w:cs="Calibri"/>
                <w:b/>
                <w:bCs/>
                <w:szCs w:val="20"/>
              </w:rPr>
              <w:t>29.9%</w:t>
            </w:r>
          </w:p>
        </w:tc>
      </w:tr>
      <w:tr w:rsidR="00F638BC" w:rsidRPr="00F638BC" w14:paraId="12A42962" w14:textId="77777777" w:rsidTr="00F638BC">
        <w:trPr>
          <w:trHeight w:val="20"/>
        </w:trPr>
        <w:tc>
          <w:tcPr>
            <w:tcW w:w="233" w:type="pct"/>
            <w:tcBorders>
              <w:top w:val="single" w:sz="12" w:space="0" w:color="FFFFFF"/>
              <w:left w:val="single" w:sz="4" w:space="0" w:color="FFFFFF"/>
              <w:bottom w:val="nil"/>
              <w:right w:val="single" w:sz="4" w:space="0" w:color="FFFFFF"/>
            </w:tcBorders>
            <w:shd w:val="clear" w:color="auto" w:fill="auto"/>
            <w:noWrap/>
            <w:hideMark/>
          </w:tcPr>
          <w:p w14:paraId="4D2B8DA1" w14:textId="77777777" w:rsidR="00F638BC" w:rsidRPr="00F638BC" w:rsidRDefault="00F638BC" w:rsidP="00F638BC">
            <w:pPr>
              <w:spacing w:before="0" w:after="0" w:line="240" w:lineRule="auto"/>
              <w:ind w:firstLineChars="100" w:firstLine="180"/>
              <w:contextualSpacing/>
              <w:rPr>
                <w:rFonts w:ascii="Calibri" w:eastAsia="Times New Roman" w:hAnsi="Calibri" w:cs="Calibri"/>
                <w:b/>
                <w:bCs/>
                <w:color w:val="000000"/>
                <w:sz w:val="18"/>
                <w:szCs w:val="18"/>
              </w:rPr>
            </w:pPr>
            <w:r w:rsidRPr="00F638BC">
              <w:rPr>
                <w:rFonts w:ascii="Calibri" w:eastAsia="Times New Roman" w:hAnsi="Calibri" w:cs="Calibri"/>
                <w:b/>
                <w:bCs/>
                <w:color w:val="000000"/>
                <w:sz w:val="18"/>
                <w:szCs w:val="18"/>
              </w:rPr>
              <w:t> </w:t>
            </w:r>
          </w:p>
        </w:tc>
        <w:tc>
          <w:tcPr>
            <w:tcW w:w="1161" w:type="pct"/>
            <w:tcBorders>
              <w:top w:val="single" w:sz="12" w:space="0" w:color="FFFFFF"/>
              <w:left w:val="nil"/>
              <w:bottom w:val="nil"/>
              <w:right w:val="single" w:sz="4" w:space="0" w:color="FFFFFF"/>
            </w:tcBorders>
            <w:shd w:val="clear" w:color="auto" w:fill="auto"/>
            <w:noWrap/>
            <w:hideMark/>
          </w:tcPr>
          <w:p w14:paraId="1AE54084" w14:textId="77777777" w:rsidR="00F638BC" w:rsidRPr="00F638BC" w:rsidRDefault="00F638BC" w:rsidP="00F638BC">
            <w:pPr>
              <w:spacing w:before="0" w:after="0" w:line="240" w:lineRule="auto"/>
              <w:contextualSpacing/>
              <w:rPr>
                <w:rFonts w:ascii="Calibri" w:eastAsia="Times New Roman" w:hAnsi="Calibri" w:cs="Calibri"/>
                <w:b/>
                <w:bCs/>
                <w:szCs w:val="20"/>
              </w:rPr>
            </w:pPr>
            <w:r w:rsidRPr="00F638BC">
              <w:rPr>
                <w:rFonts w:ascii="Calibri" w:eastAsia="Times New Roman" w:hAnsi="Calibri" w:cs="Calibri"/>
                <w:b/>
                <w:bCs/>
                <w:szCs w:val="20"/>
              </w:rPr>
              <w:t> </w:t>
            </w:r>
          </w:p>
        </w:tc>
        <w:tc>
          <w:tcPr>
            <w:tcW w:w="2240" w:type="pct"/>
            <w:tcBorders>
              <w:top w:val="single" w:sz="12" w:space="0" w:color="FFFFFF"/>
              <w:left w:val="nil"/>
              <w:bottom w:val="nil"/>
              <w:right w:val="single" w:sz="4" w:space="0" w:color="FFFFFF"/>
            </w:tcBorders>
            <w:shd w:val="clear" w:color="auto" w:fill="auto"/>
            <w:noWrap/>
            <w:hideMark/>
          </w:tcPr>
          <w:p w14:paraId="67E8D86D" w14:textId="77777777" w:rsidR="00F638BC" w:rsidRPr="00F638BC" w:rsidRDefault="00F638BC" w:rsidP="00F638BC">
            <w:pPr>
              <w:spacing w:before="0" w:after="0" w:line="240" w:lineRule="auto"/>
              <w:contextualSpacing/>
              <w:rPr>
                <w:rFonts w:ascii="Calibri" w:eastAsia="Times New Roman" w:hAnsi="Calibri" w:cs="Calibri"/>
                <w:b/>
                <w:bCs/>
                <w:szCs w:val="20"/>
              </w:rPr>
            </w:pPr>
            <w:r w:rsidRPr="00F638BC">
              <w:rPr>
                <w:rFonts w:ascii="Calibri" w:eastAsia="Times New Roman" w:hAnsi="Calibri" w:cs="Calibri"/>
                <w:b/>
                <w:bCs/>
                <w:szCs w:val="20"/>
              </w:rPr>
              <w:t xml:space="preserve">Expanded: Supplementary </w:t>
            </w:r>
          </w:p>
        </w:tc>
        <w:tc>
          <w:tcPr>
            <w:tcW w:w="439" w:type="pct"/>
            <w:tcBorders>
              <w:top w:val="single" w:sz="12" w:space="0" w:color="FFFFFF"/>
              <w:left w:val="nil"/>
              <w:bottom w:val="nil"/>
              <w:right w:val="single" w:sz="4" w:space="0" w:color="FFFFFF"/>
            </w:tcBorders>
            <w:shd w:val="clear" w:color="auto" w:fill="auto"/>
            <w:noWrap/>
            <w:hideMark/>
          </w:tcPr>
          <w:p w14:paraId="6AC3AA95" w14:textId="77777777" w:rsidR="00F638BC" w:rsidRPr="00F638BC" w:rsidRDefault="00F638BC" w:rsidP="00F638BC">
            <w:pPr>
              <w:spacing w:before="0" w:after="0" w:line="240" w:lineRule="auto"/>
              <w:contextualSpacing/>
              <w:jc w:val="right"/>
              <w:rPr>
                <w:rFonts w:ascii="Calibri" w:eastAsia="Times New Roman" w:hAnsi="Calibri" w:cs="Calibri"/>
                <w:b/>
                <w:bCs/>
                <w:szCs w:val="20"/>
              </w:rPr>
            </w:pPr>
            <w:r w:rsidRPr="00F638BC">
              <w:rPr>
                <w:rFonts w:ascii="Calibri" w:eastAsia="Times New Roman" w:hAnsi="Calibri" w:cs="Calibri"/>
                <w:b/>
                <w:bCs/>
                <w:szCs w:val="20"/>
              </w:rPr>
              <w:t>N/A</w:t>
            </w:r>
          </w:p>
        </w:tc>
        <w:tc>
          <w:tcPr>
            <w:tcW w:w="449" w:type="pct"/>
            <w:tcBorders>
              <w:top w:val="single" w:sz="12" w:space="0" w:color="FFFFFF"/>
              <w:left w:val="nil"/>
              <w:bottom w:val="nil"/>
              <w:right w:val="single" w:sz="4" w:space="0" w:color="FFFFFF"/>
            </w:tcBorders>
            <w:shd w:val="clear" w:color="auto" w:fill="auto"/>
            <w:noWrap/>
            <w:hideMark/>
          </w:tcPr>
          <w:p w14:paraId="6F73FFED" w14:textId="77777777" w:rsidR="00F638BC" w:rsidRPr="00F638BC" w:rsidRDefault="00F638BC" w:rsidP="00F638BC">
            <w:pPr>
              <w:spacing w:before="0" w:after="0" w:line="240" w:lineRule="auto"/>
              <w:contextualSpacing/>
              <w:jc w:val="right"/>
              <w:rPr>
                <w:rFonts w:ascii="Calibri" w:eastAsia="Times New Roman" w:hAnsi="Calibri" w:cs="Calibri"/>
                <w:b/>
                <w:bCs/>
                <w:szCs w:val="20"/>
              </w:rPr>
            </w:pPr>
            <w:r w:rsidRPr="00F638BC">
              <w:rPr>
                <w:rFonts w:ascii="Calibri" w:eastAsia="Times New Roman" w:hAnsi="Calibri" w:cs="Calibri"/>
                <w:b/>
                <w:bCs/>
                <w:szCs w:val="20"/>
              </w:rPr>
              <w:t>N/A</w:t>
            </w:r>
          </w:p>
        </w:tc>
        <w:tc>
          <w:tcPr>
            <w:tcW w:w="478" w:type="pct"/>
            <w:tcBorders>
              <w:top w:val="single" w:sz="12" w:space="0" w:color="FFFFFF"/>
              <w:left w:val="nil"/>
              <w:bottom w:val="nil"/>
              <w:right w:val="single" w:sz="4" w:space="0" w:color="FFFFFF"/>
            </w:tcBorders>
            <w:shd w:val="clear" w:color="auto" w:fill="auto"/>
            <w:noWrap/>
            <w:hideMark/>
          </w:tcPr>
          <w:p w14:paraId="502E1338" w14:textId="77777777" w:rsidR="00F638BC" w:rsidRPr="00F638BC" w:rsidRDefault="00F638BC" w:rsidP="00F638BC">
            <w:pPr>
              <w:spacing w:before="0" w:after="0" w:line="240" w:lineRule="auto"/>
              <w:contextualSpacing/>
              <w:jc w:val="right"/>
              <w:rPr>
                <w:rFonts w:ascii="Calibri" w:eastAsia="Times New Roman" w:hAnsi="Calibri" w:cs="Calibri"/>
                <w:b/>
                <w:bCs/>
                <w:szCs w:val="20"/>
              </w:rPr>
            </w:pPr>
            <w:r w:rsidRPr="00F638BC">
              <w:rPr>
                <w:rFonts w:ascii="Calibri" w:eastAsia="Times New Roman" w:hAnsi="Calibri" w:cs="Calibri"/>
                <w:b/>
                <w:bCs/>
                <w:szCs w:val="20"/>
              </w:rPr>
              <w:t>N/A</w:t>
            </w:r>
          </w:p>
        </w:tc>
      </w:tr>
    </w:tbl>
    <w:p w14:paraId="7351BFD4" w14:textId="7FC1B9A6" w:rsidR="0061769F" w:rsidRDefault="0061769F" w:rsidP="007F4430">
      <w:pPr>
        <w:pStyle w:val="Caption"/>
      </w:pPr>
    </w:p>
    <w:p w14:paraId="25254566" w14:textId="6A33BC86" w:rsidR="007F4430" w:rsidRDefault="007F4430" w:rsidP="007F4430">
      <w:pPr>
        <w:pStyle w:val="Caption"/>
      </w:pPr>
      <w:commentRangeStart w:id="28"/>
      <w:r>
        <w:t xml:space="preserve">Table </w:t>
      </w:r>
      <w:fldSimple w:instr=" SEQ Table \* ARABIC ">
        <w:r w:rsidR="00F638BC">
          <w:rPr>
            <w:noProof/>
          </w:rPr>
          <w:t>4</w:t>
        </w:r>
      </w:fldSimple>
      <w:r>
        <w:t>. Per-capita GHG emissions for King County between inventory years.</w:t>
      </w:r>
      <w:commentRangeEnd w:id="28"/>
      <w:r>
        <w:rPr>
          <w:rStyle w:val="CommentReference"/>
          <w:b w:val="0"/>
          <w:iCs w:val="0"/>
        </w:rPr>
        <w:commentReference w:id="28"/>
      </w:r>
    </w:p>
    <w:p w14:paraId="21E42ECD" w14:textId="27AD3710" w:rsidR="007F4430" w:rsidRDefault="00BF42EB" w:rsidP="007F4430">
      <w:r w:rsidRPr="00BF42EB">
        <w:rPr>
          <w:noProof/>
        </w:rPr>
        <w:drawing>
          <wp:inline distT="0" distB="0" distL="0" distR="0" wp14:anchorId="359DF75E" wp14:editId="7C99C7FE">
            <wp:extent cx="5943600" cy="45966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596608"/>
                    </a:xfrm>
                    <a:prstGeom prst="rect">
                      <a:avLst/>
                    </a:prstGeom>
                    <a:noFill/>
                    <a:ln>
                      <a:noFill/>
                    </a:ln>
                  </pic:spPr>
                </pic:pic>
              </a:graphicData>
            </a:graphic>
          </wp:inline>
        </w:drawing>
      </w:r>
    </w:p>
    <w:p w14:paraId="49E432A8" w14:textId="77777777" w:rsidR="007F4430" w:rsidRDefault="007F4430" w:rsidP="007F4430">
      <w:pPr>
        <w:pStyle w:val="Caption"/>
      </w:pPr>
      <w:r>
        <w:lastRenderedPageBreak/>
        <w:t xml:space="preserve">Figure </w:t>
      </w:r>
      <w:fldSimple w:instr=" SEQ Figure \* ARABIC ">
        <w:r>
          <w:rPr>
            <w:noProof/>
          </w:rPr>
          <w:t>8</w:t>
        </w:r>
      </w:fldSimple>
      <w:r>
        <w:t>. King County 2015 per-capita GHG emissions compared to other jurisdictions.</w:t>
      </w:r>
      <w:r>
        <w:rPr>
          <w:rStyle w:val="FootnoteReference"/>
        </w:rPr>
        <w:footnoteReference w:id="4"/>
      </w:r>
    </w:p>
    <w:p w14:paraId="52783C1C" w14:textId="0E7997D2" w:rsidR="007F4430" w:rsidRDefault="00247BF7" w:rsidP="0047082C">
      <w:pPr>
        <w:jc w:val="center"/>
      </w:pPr>
      <w:r>
        <w:rPr>
          <w:noProof/>
        </w:rPr>
        <w:drawing>
          <wp:inline distT="0" distB="0" distL="0" distR="0" wp14:anchorId="333B69C1" wp14:editId="06A8A2C8">
            <wp:extent cx="4578350" cy="2749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69A6D948" w14:textId="445A96B6" w:rsidR="007F4430" w:rsidRDefault="00827F19" w:rsidP="007F4430">
      <w:pPr>
        <w:pStyle w:val="Heading3"/>
      </w:pPr>
      <w:r>
        <w:t xml:space="preserve">Residential and Commercial </w:t>
      </w:r>
      <w:r w:rsidR="007F4430">
        <w:t>Buildings</w:t>
      </w:r>
    </w:p>
    <w:p w14:paraId="40EA9A90" w14:textId="0790165A" w:rsidR="007F4430" w:rsidRDefault="007F4430" w:rsidP="007F4430">
      <w:pPr>
        <w:pStyle w:val="Textafter"/>
      </w:pPr>
      <w:r>
        <w:t xml:space="preserve">Emissions from the </w:t>
      </w:r>
      <w:r w:rsidR="00983663">
        <w:t xml:space="preserve">residential and commercial </w:t>
      </w:r>
      <w:r>
        <w:t>built environment resulted in the following key trends and findings:</w:t>
      </w:r>
    </w:p>
    <w:p w14:paraId="64B4AA84" w14:textId="77777777" w:rsidR="00247BF7" w:rsidRDefault="007F4430" w:rsidP="00247BF7">
      <w:pPr>
        <w:pStyle w:val="ListParagraph"/>
        <w:numPr>
          <w:ilvl w:val="0"/>
          <w:numId w:val="29"/>
        </w:numPr>
      </w:pPr>
      <w:r>
        <w:t xml:space="preserve">In 2015, the built environment </w:t>
      </w:r>
      <w:r w:rsidRPr="00111FC0">
        <w:t>accounted for 6</w:t>
      </w:r>
      <w:r>
        <w:t>2</w:t>
      </w:r>
      <w:r w:rsidRPr="00111FC0">
        <w:t xml:space="preserve">% of communitywide emissions. Emissions from commercial and residential buildings accounted for most of those emissions and </w:t>
      </w:r>
      <w:r>
        <w:t>48</w:t>
      </w:r>
      <w:r w:rsidRPr="00111FC0">
        <w:t xml:space="preserve">% of all emissions. </w:t>
      </w:r>
    </w:p>
    <w:p w14:paraId="499550F8" w14:textId="24F392E1" w:rsidR="00247BF7" w:rsidRDefault="007F4430" w:rsidP="00247BF7">
      <w:pPr>
        <w:pStyle w:val="ListParagraph"/>
        <w:numPr>
          <w:ilvl w:val="0"/>
          <w:numId w:val="29"/>
        </w:numPr>
      </w:pPr>
      <w:r>
        <w:t>Changes in energy demand and fuel mix</w:t>
      </w:r>
      <w:r w:rsidRPr="00EF54B7">
        <w:t xml:space="preserve"> in the commercial and residential sectors led to </w:t>
      </w:r>
      <w:r>
        <w:t>a</w:t>
      </w:r>
      <w:r w:rsidR="001C7C08">
        <w:t>n</w:t>
      </w:r>
      <w:r>
        <w:t xml:space="preserve"> 8% increase</w:t>
      </w:r>
      <w:r w:rsidRPr="00EF54B7">
        <w:t xml:space="preserve"> in </w:t>
      </w:r>
      <w:r>
        <w:t xml:space="preserve">commercial and 2% decrease in residential energy </w:t>
      </w:r>
      <w:r w:rsidRPr="00EF54B7">
        <w:t xml:space="preserve">emissions </w:t>
      </w:r>
      <w:r>
        <w:t>compared to 2008.</w:t>
      </w:r>
      <w:r w:rsidR="00420816">
        <w:t xml:space="preserve"> </w:t>
      </w:r>
      <w:r w:rsidR="007840EA">
        <w:t xml:space="preserve">Commercial increases can be attributed largely to increases in electricity consumption. </w:t>
      </w:r>
      <w:r w:rsidR="00420816">
        <w:t xml:space="preserve">Overall, </w:t>
      </w:r>
      <w:r w:rsidR="007840EA">
        <w:t xml:space="preserve">however, </w:t>
      </w:r>
      <w:r w:rsidR="00420816">
        <w:t xml:space="preserve">natural gas </w:t>
      </w:r>
      <w:r w:rsidR="00B9756F">
        <w:t xml:space="preserve">and electricity </w:t>
      </w:r>
      <w:r w:rsidR="00420816">
        <w:t xml:space="preserve">use has declined </w:t>
      </w:r>
      <w:r w:rsidR="00B9756F">
        <w:t>in King County since 2008.</w:t>
      </w:r>
      <w:r w:rsidR="00420816">
        <w:t xml:space="preserve"> </w:t>
      </w:r>
    </w:p>
    <w:p w14:paraId="3D022B6C" w14:textId="00501908" w:rsidR="007F4430" w:rsidRDefault="007F4430" w:rsidP="00247BF7">
      <w:pPr>
        <w:pStyle w:val="ListParagraph"/>
        <w:numPr>
          <w:ilvl w:val="0"/>
          <w:numId w:val="29"/>
        </w:numPr>
      </w:pPr>
      <w:r>
        <w:t>Process emissions, a significant portion of overall industrial emissions, have decreased 19% since 2008.</w:t>
      </w:r>
    </w:p>
    <w:p w14:paraId="1748AC32" w14:textId="4468575A" w:rsidR="007F4430" w:rsidRDefault="007F4430" w:rsidP="007F4430">
      <w:pPr>
        <w:pStyle w:val="Textafter"/>
      </w:pPr>
      <w:r w:rsidRPr="0011355E">
        <w:t xml:space="preserve">King County’s </w:t>
      </w:r>
      <w:r>
        <w:t>electricity and natural gas are</w:t>
      </w:r>
      <w:r w:rsidRPr="0011355E">
        <w:t xml:space="preserve"> delivered through two energy providers: Seattle City Light (SCL) and Puget Sound Energy (PSE).</w:t>
      </w:r>
      <w:r>
        <w:t xml:space="preserve"> </w:t>
      </w:r>
      <w:r w:rsidRPr="0011355E">
        <w:t>Both providers generate elect</w:t>
      </w:r>
      <w:r>
        <w:t xml:space="preserve">ricity primarily through </w:t>
      </w:r>
      <w:r w:rsidRPr="0011355E">
        <w:t xml:space="preserve">hydroelectricity, however other </w:t>
      </w:r>
      <w:r>
        <w:t>sources</w:t>
      </w:r>
      <w:r w:rsidRPr="0011355E">
        <w:t xml:space="preserve"> such as coal and natural gas </w:t>
      </w:r>
      <w:r>
        <w:t>are also used—especially when hydroelectric capacity is low</w:t>
      </w:r>
      <w:r w:rsidRPr="0011355E">
        <w:t>.</w:t>
      </w:r>
      <w:r>
        <w:t xml:space="preserve"> Although </w:t>
      </w:r>
      <w:r w:rsidR="001C7C08">
        <w:t>non-fossil fuel sources</w:t>
      </w:r>
      <w:r>
        <w:t xml:space="preserve"> constitute</w:t>
      </w:r>
      <w:r w:rsidR="001C7C08">
        <w:t>d</w:t>
      </w:r>
      <w:r>
        <w:t xml:space="preserve"> a significant portion of both SCL (9</w:t>
      </w:r>
      <w:r w:rsidR="001C7C08">
        <w:t>7</w:t>
      </w:r>
      <w:r>
        <w:t>%) and PSE (</w:t>
      </w:r>
      <w:r w:rsidR="001C7C08">
        <w:t>33</w:t>
      </w:r>
      <w:r>
        <w:t xml:space="preserve">%) </w:t>
      </w:r>
      <w:r w:rsidR="001C7C08">
        <w:t xml:space="preserve">2015 </w:t>
      </w:r>
      <w:r>
        <w:t xml:space="preserve">fuel mix, relative proportions of fuels and resulting emissions factors fluctuate through time (see </w:t>
      </w:r>
      <w:r>
        <w:lastRenderedPageBreak/>
        <w:fldChar w:fldCharType="begin"/>
      </w:r>
      <w:r>
        <w:instrText xml:space="preserve"> REF _Ref483400651 \h </w:instrText>
      </w:r>
      <w:r>
        <w:fldChar w:fldCharType="separate"/>
      </w:r>
      <w:r>
        <w:t xml:space="preserve">Figure </w:t>
      </w:r>
      <w:r>
        <w:rPr>
          <w:noProof/>
        </w:rPr>
        <w:t>9</w:t>
      </w:r>
      <w:r>
        <w:fldChar w:fldCharType="end"/>
      </w:r>
      <w:r>
        <w:t xml:space="preserve">). This change in King County’s electricity utilities’ fuel mixes have resulted in a </w:t>
      </w:r>
      <w:r w:rsidR="001C7C08">
        <w:t xml:space="preserve">fluctuation </w:t>
      </w:r>
      <w:r>
        <w:t>in the emissions produced per unit of energy delivered</w:t>
      </w:r>
      <w:r w:rsidR="003B2CC6">
        <w:t xml:space="preserve"> over time.</w:t>
      </w:r>
      <w:r>
        <w:t xml:space="preserve"> </w:t>
      </w:r>
    </w:p>
    <w:p w14:paraId="5A02CB76" w14:textId="77777777" w:rsidR="007F4430" w:rsidRDefault="007F4430" w:rsidP="007F4430">
      <w:r>
        <w:t>King County’s electricity is also connected to the regional grid, which has its own emissions profile. To put King County’s</w:t>
      </w:r>
      <w:r w:rsidRPr="0011355E">
        <w:t xml:space="preserve"> emissions in context, a sensitivity analysis was run per the recommendations of the </w:t>
      </w:r>
      <w:r>
        <w:t xml:space="preserve">U.S. </w:t>
      </w:r>
      <w:r w:rsidRPr="0011355E">
        <w:t>Comm</w:t>
      </w:r>
      <w:r>
        <w:t>unity Protocol to compare</w:t>
      </w:r>
      <w:r w:rsidRPr="0011355E">
        <w:t xml:space="preserve"> </w:t>
      </w:r>
      <w:r>
        <w:t>the utility-specific emissions</w:t>
      </w:r>
      <w:r w:rsidRPr="0011355E">
        <w:t xml:space="preserve"> </w:t>
      </w:r>
      <w:r>
        <w:t>profile with that of the regional grid</w:t>
      </w:r>
      <w:r w:rsidRPr="0011355E">
        <w:t>.</w:t>
      </w:r>
      <w:r>
        <w:t xml:space="preserve"> Results are shown in </w:t>
      </w:r>
      <w:r>
        <w:rPr>
          <w:highlight w:val="yellow"/>
        </w:rPr>
        <w:fldChar w:fldCharType="begin"/>
      </w:r>
      <w:r>
        <w:instrText xml:space="preserve"> REF _Ref483399338 \h </w:instrText>
      </w:r>
      <w:r>
        <w:rPr>
          <w:highlight w:val="yellow"/>
        </w:rPr>
      </w:r>
      <w:r>
        <w:rPr>
          <w:highlight w:val="yellow"/>
        </w:rPr>
        <w:fldChar w:fldCharType="separate"/>
      </w:r>
      <w:r>
        <w:t xml:space="preserve">Figure </w:t>
      </w:r>
      <w:r>
        <w:rPr>
          <w:noProof/>
        </w:rPr>
        <w:t>9</w:t>
      </w:r>
      <w:r>
        <w:rPr>
          <w:highlight w:val="yellow"/>
        </w:rPr>
        <w:fldChar w:fldCharType="end"/>
      </w:r>
      <w:r>
        <w:t>. In general, the utility-specific emissions profiles out-performed (generated fewer</w:t>
      </w:r>
      <w:r w:rsidRPr="0011355E">
        <w:t xml:space="preserve"> GHG emissions) the regional emission factor</w:t>
      </w:r>
      <w:r>
        <w:t xml:space="preserve">. </w:t>
      </w:r>
    </w:p>
    <w:p w14:paraId="38444AC7" w14:textId="77777777" w:rsidR="007F4430" w:rsidRDefault="007F4430" w:rsidP="007F4430">
      <w:pPr>
        <w:pStyle w:val="Caption"/>
      </w:pPr>
      <w:r>
        <w:t xml:space="preserve">Figure </w:t>
      </w:r>
      <w:fldSimple w:instr=" SEQ Figure \* ARABIC ">
        <w:r>
          <w:rPr>
            <w:noProof/>
          </w:rPr>
          <w:t>9</w:t>
        </w:r>
      </w:fldSimple>
      <w:r>
        <w:t xml:space="preserve">. Sources of residential (left) and commercial (right) GHG emissions in </w:t>
      </w:r>
      <w:commentRangeStart w:id="29"/>
      <w:commentRangeStart w:id="30"/>
      <w:r>
        <w:t>2015</w:t>
      </w:r>
      <w:commentRangeEnd w:id="29"/>
      <w:r>
        <w:rPr>
          <w:rStyle w:val="CommentReference"/>
          <w:b w:val="0"/>
          <w:iCs w:val="0"/>
        </w:rPr>
        <w:commentReference w:id="29"/>
      </w:r>
      <w:commentRangeEnd w:id="30"/>
      <w:r w:rsidR="007840EA">
        <w:rPr>
          <w:rStyle w:val="CommentReference"/>
          <w:b w:val="0"/>
          <w:iCs w:val="0"/>
        </w:rPr>
        <w:commentReference w:id="30"/>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717"/>
      </w:tblGrid>
      <w:tr w:rsidR="007F4430" w14:paraId="64EFE272" w14:textId="77777777" w:rsidTr="00B049D0">
        <w:tc>
          <w:tcPr>
            <w:tcW w:w="4675" w:type="dxa"/>
          </w:tcPr>
          <w:p w14:paraId="2EF59720" w14:textId="77777777" w:rsidR="007F4430" w:rsidRPr="00A66299" w:rsidRDefault="007F4430" w:rsidP="00B049D0">
            <w:pPr>
              <w:jc w:val="center"/>
              <w:rPr>
                <w:b/>
                <w:noProof/>
              </w:rPr>
            </w:pPr>
            <w:r w:rsidRPr="00A66299">
              <w:rPr>
                <w:b/>
                <w:noProof/>
              </w:rPr>
              <w:t>Residential Emissions (MgCO</w:t>
            </w:r>
            <w:r w:rsidRPr="00A66299">
              <w:rPr>
                <w:b/>
                <w:noProof/>
                <w:vertAlign w:val="subscript"/>
              </w:rPr>
              <w:t>2</w:t>
            </w:r>
            <w:r w:rsidRPr="00A66299">
              <w:rPr>
                <w:b/>
                <w:noProof/>
              </w:rPr>
              <w:t>e)</w:t>
            </w:r>
          </w:p>
        </w:tc>
        <w:tc>
          <w:tcPr>
            <w:tcW w:w="4675" w:type="dxa"/>
          </w:tcPr>
          <w:p w14:paraId="1EB37082" w14:textId="77777777" w:rsidR="007F4430" w:rsidRDefault="007F4430" w:rsidP="00B049D0">
            <w:pPr>
              <w:jc w:val="center"/>
              <w:rPr>
                <w:noProof/>
              </w:rPr>
            </w:pPr>
            <w:r>
              <w:rPr>
                <w:b/>
                <w:noProof/>
              </w:rPr>
              <w:t>Commercial</w:t>
            </w:r>
            <w:r w:rsidRPr="00A66299">
              <w:rPr>
                <w:b/>
                <w:noProof/>
              </w:rPr>
              <w:t xml:space="preserve"> Emissions (MgCO</w:t>
            </w:r>
            <w:r w:rsidRPr="00A66299">
              <w:rPr>
                <w:b/>
                <w:noProof/>
                <w:vertAlign w:val="subscript"/>
              </w:rPr>
              <w:t>2</w:t>
            </w:r>
            <w:r w:rsidRPr="00A66299">
              <w:rPr>
                <w:b/>
                <w:noProof/>
              </w:rPr>
              <w:t>e)</w:t>
            </w:r>
          </w:p>
        </w:tc>
      </w:tr>
      <w:tr w:rsidR="007F4430" w14:paraId="581CDF41" w14:textId="77777777" w:rsidTr="00B049D0">
        <w:tc>
          <w:tcPr>
            <w:tcW w:w="4675" w:type="dxa"/>
          </w:tcPr>
          <w:p w14:paraId="61CF2A98" w14:textId="77777777" w:rsidR="007F4430" w:rsidRDefault="007F4430" w:rsidP="00B049D0">
            <w:r>
              <w:rPr>
                <w:noProof/>
              </w:rPr>
              <w:drawing>
                <wp:inline distT="0" distB="0" distL="0" distR="0" wp14:anchorId="04C86055" wp14:editId="1624414C">
                  <wp:extent cx="2961564" cy="2933479"/>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7566" r="17797"/>
                          <a:stretch/>
                        </pic:blipFill>
                        <pic:spPr bwMode="auto">
                          <a:xfrm>
                            <a:off x="0" y="0"/>
                            <a:ext cx="2969703" cy="29415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63A1FABC" w14:textId="77777777" w:rsidR="007F4430" w:rsidRDefault="007F4430" w:rsidP="00B049D0">
            <w:r>
              <w:rPr>
                <w:noProof/>
              </w:rPr>
              <w:drawing>
                <wp:inline distT="0" distB="0" distL="0" distR="0" wp14:anchorId="07E9BEBB" wp14:editId="2D46AF4D">
                  <wp:extent cx="3002507" cy="274955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r="16105"/>
                          <a:stretch/>
                        </pic:blipFill>
                        <pic:spPr bwMode="auto">
                          <a:xfrm>
                            <a:off x="0" y="0"/>
                            <a:ext cx="3002507" cy="2749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AD9C19" w14:textId="77777777" w:rsidR="007F4430" w:rsidRDefault="007F4430" w:rsidP="007F4430"/>
    <w:p w14:paraId="2D4A62F8" w14:textId="77777777" w:rsidR="007F4430" w:rsidRDefault="007F4430" w:rsidP="007F4430">
      <w:pPr>
        <w:pStyle w:val="Caption"/>
      </w:pPr>
      <w:r>
        <w:lastRenderedPageBreak/>
        <w:t xml:space="preserve">Figure </w:t>
      </w:r>
      <w:fldSimple w:instr=" SEQ Figure \* ARABIC ">
        <w:r>
          <w:rPr>
            <w:noProof/>
          </w:rPr>
          <w:t>10</w:t>
        </w:r>
      </w:fldSimple>
      <w:r>
        <w:t xml:space="preserve">. Emission sources from the built environment from 2003 to 2015. </w:t>
      </w:r>
    </w:p>
    <w:p w14:paraId="19C38F8D" w14:textId="0EB4CB2A" w:rsidR="007F4430" w:rsidRDefault="00983663" w:rsidP="0047082C">
      <w:pPr>
        <w:jc w:val="center"/>
      </w:pPr>
      <w:r>
        <w:rPr>
          <w:noProof/>
        </w:rPr>
        <w:drawing>
          <wp:inline distT="0" distB="0" distL="0" distR="0" wp14:anchorId="61F3DD3E" wp14:editId="7E4741D0">
            <wp:extent cx="5279390" cy="26155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9390" cy="2615565"/>
                    </a:xfrm>
                    <a:prstGeom prst="rect">
                      <a:avLst/>
                    </a:prstGeom>
                    <a:noFill/>
                  </pic:spPr>
                </pic:pic>
              </a:graphicData>
            </a:graphic>
          </wp:inline>
        </w:drawing>
      </w:r>
    </w:p>
    <w:p w14:paraId="7E66C453" w14:textId="29FB0B76" w:rsidR="007F4430" w:rsidRDefault="007F4430" w:rsidP="007F4430">
      <w:pPr>
        <w:pStyle w:val="Caption"/>
      </w:pPr>
      <w:r>
        <w:t xml:space="preserve">Table </w:t>
      </w:r>
      <w:fldSimple w:instr=" SEQ Table \* ARABIC ">
        <w:r w:rsidR="00F638BC">
          <w:rPr>
            <w:noProof/>
          </w:rPr>
          <w:t>5</w:t>
        </w:r>
      </w:fldSimple>
      <w:r>
        <w:t>. Electricity GHG emissions (</w:t>
      </w:r>
      <w:r w:rsidRPr="00D52D6C">
        <w:t>MgCO</w:t>
      </w:r>
      <w:r w:rsidRPr="00D52D6C">
        <w:rPr>
          <w:vertAlign w:val="subscript"/>
        </w:rPr>
        <w:t>2</w:t>
      </w:r>
      <w:r w:rsidRPr="00D52D6C">
        <w:t>e</w:t>
      </w:r>
      <w:r>
        <w:t>) generated to power residential, commercial, and industrial consumers by SCL and PSE compared to a regional (</w:t>
      </w:r>
      <w:proofErr w:type="spellStart"/>
      <w:r>
        <w:t>eGRID</w:t>
      </w:r>
      <w:proofErr w:type="spellEnd"/>
      <w:r>
        <w:t>) emission facto</w:t>
      </w:r>
      <w:r w:rsidRPr="005B4A59">
        <w:t>r</w:t>
      </w:r>
      <w:r>
        <w:t xml:space="preserve"> for 2015</w:t>
      </w:r>
      <w:r w:rsidRPr="005B4A59">
        <w:t xml:space="preserve">. The performance ratio is the ratio of utility-specific emissions relative to the </w:t>
      </w:r>
      <w:proofErr w:type="spellStart"/>
      <w:r w:rsidRPr="005B4A59">
        <w:t>eGRID</w:t>
      </w:r>
      <w:proofErr w:type="spellEnd"/>
      <w:r w:rsidRPr="005B4A59">
        <w:t>-calculated equivalent.</w:t>
      </w:r>
    </w:p>
    <w:tbl>
      <w:tblPr>
        <w:tblW w:w="0" w:type="auto"/>
        <w:jc w:val="center"/>
        <w:tblLook w:val="04A0" w:firstRow="1" w:lastRow="0" w:firstColumn="1" w:lastColumn="0" w:noHBand="0" w:noVBand="1"/>
      </w:tblPr>
      <w:tblGrid>
        <w:gridCol w:w="2159"/>
        <w:gridCol w:w="1203"/>
        <w:gridCol w:w="1287"/>
        <w:gridCol w:w="1061"/>
        <w:gridCol w:w="1890"/>
      </w:tblGrid>
      <w:tr w:rsidR="003B4F9D" w:rsidRPr="003B4F9D" w14:paraId="52E710F5" w14:textId="77777777" w:rsidTr="0047082C">
        <w:trPr>
          <w:trHeight w:val="20"/>
          <w:jc w:val="center"/>
        </w:trPr>
        <w:tc>
          <w:tcPr>
            <w:tcW w:w="0" w:type="auto"/>
            <w:tcBorders>
              <w:top w:val="nil"/>
              <w:left w:val="nil"/>
              <w:bottom w:val="nil"/>
              <w:right w:val="nil"/>
            </w:tcBorders>
            <w:shd w:val="clear" w:color="000000" w:fill="203764"/>
            <w:noWrap/>
            <w:vAlign w:val="center"/>
            <w:hideMark/>
          </w:tcPr>
          <w:p w14:paraId="24225F9C" w14:textId="2670856E" w:rsidR="003B4F9D" w:rsidRPr="003B4F9D" w:rsidRDefault="003B4F9D" w:rsidP="0047082C">
            <w:pPr>
              <w:spacing w:before="0" w:after="0" w:line="240" w:lineRule="auto"/>
              <w:jc w:val="center"/>
              <w:rPr>
                <w:rFonts w:ascii="Calibri" w:eastAsia="Times New Roman" w:hAnsi="Calibri" w:cs="Calibri"/>
                <w:color w:val="FFFFFF"/>
                <w:sz w:val="22"/>
              </w:rPr>
            </w:pPr>
          </w:p>
        </w:tc>
        <w:tc>
          <w:tcPr>
            <w:tcW w:w="0" w:type="auto"/>
            <w:tcBorders>
              <w:top w:val="nil"/>
              <w:left w:val="nil"/>
              <w:bottom w:val="nil"/>
              <w:right w:val="nil"/>
            </w:tcBorders>
            <w:shd w:val="clear" w:color="000000" w:fill="203764"/>
            <w:noWrap/>
            <w:vAlign w:val="center"/>
            <w:hideMark/>
          </w:tcPr>
          <w:p w14:paraId="55BAAE99" w14:textId="77777777" w:rsidR="003B4F9D" w:rsidRPr="003B4F9D" w:rsidRDefault="003B4F9D" w:rsidP="0047082C">
            <w:pPr>
              <w:spacing w:before="0" w:after="0" w:line="240" w:lineRule="auto"/>
              <w:jc w:val="center"/>
              <w:rPr>
                <w:rFonts w:ascii="Calibri" w:eastAsia="Times New Roman" w:hAnsi="Calibri" w:cs="Calibri"/>
                <w:color w:val="FFFFFF"/>
                <w:sz w:val="22"/>
              </w:rPr>
            </w:pPr>
            <w:r w:rsidRPr="003B4F9D">
              <w:rPr>
                <w:rFonts w:ascii="Calibri" w:eastAsia="Times New Roman" w:hAnsi="Calibri" w:cs="Calibri"/>
                <w:color w:val="FFFFFF"/>
                <w:sz w:val="22"/>
              </w:rPr>
              <w:t>Residential</w:t>
            </w:r>
          </w:p>
        </w:tc>
        <w:tc>
          <w:tcPr>
            <w:tcW w:w="0" w:type="auto"/>
            <w:tcBorders>
              <w:top w:val="nil"/>
              <w:left w:val="nil"/>
              <w:bottom w:val="nil"/>
              <w:right w:val="nil"/>
            </w:tcBorders>
            <w:shd w:val="clear" w:color="000000" w:fill="203764"/>
            <w:noWrap/>
            <w:vAlign w:val="center"/>
            <w:hideMark/>
          </w:tcPr>
          <w:p w14:paraId="75C915FF" w14:textId="77777777" w:rsidR="003B4F9D" w:rsidRPr="003B4F9D" w:rsidRDefault="003B4F9D" w:rsidP="0047082C">
            <w:pPr>
              <w:spacing w:before="0" w:after="0" w:line="240" w:lineRule="auto"/>
              <w:jc w:val="center"/>
              <w:rPr>
                <w:rFonts w:ascii="Calibri" w:eastAsia="Times New Roman" w:hAnsi="Calibri" w:cs="Calibri"/>
                <w:color w:val="FFFFFF"/>
                <w:sz w:val="22"/>
              </w:rPr>
            </w:pPr>
            <w:r w:rsidRPr="003B4F9D">
              <w:rPr>
                <w:rFonts w:ascii="Calibri" w:eastAsia="Times New Roman" w:hAnsi="Calibri" w:cs="Calibri"/>
                <w:color w:val="FFFFFF"/>
                <w:sz w:val="22"/>
              </w:rPr>
              <w:t>Commercial</w:t>
            </w:r>
          </w:p>
        </w:tc>
        <w:tc>
          <w:tcPr>
            <w:tcW w:w="0" w:type="auto"/>
            <w:tcBorders>
              <w:top w:val="nil"/>
              <w:left w:val="nil"/>
              <w:bottom w:val="nil"/>
              <w:right w:val="nil"/>
            </w:tcBorders>
            <w:shd w:val="clear" w:color="000000" w:fill="203764"/>
            <w:noWrap/>
            <w:vAlign w:val="center"/>
            <w:hideMark/>
          </w:tcPr>
          <w:p w14:paraId="3E5DBF7D" w14:textId="77777777" w:rsidR="003B4F9D" w:rsidRPr="003B4F9D" w:rsidRDefault="003B4F9D" w:rsidP="0047082C">
            <w:pPr>
              <w:spacing w:before="0" w:after="0" w:line="240" w:lineRule="auto"/>
              <w:jc w:val="center"/>
              <w:rPr>
                <w:rFonts w:ascii="Calibri" w:eastAsia="Times New Roman" w:hAnsi="Calibri" w:cs="Calibri"/>
                <w:color w:val="FFFFFF"/>
                <w:sz w:val="22"/>
              </w:rPr>
            </w:pPr>
            <w:r w:rsidRPr="003B4F9D">
              <w:rPr>
                <w:rFonts w:ascii="Calibri" w:eastAsia="Times New Roman" w:hAnsi="Calibri" w:cs="Calibri"/>
                <w:color w:val="FFFFFF"/>
                <w:sz w:val="22"/>
              </w:rPr>
              <w:t>Industrial</w:t>
            </w:r>
          </w:p>
        </w:tc>
        <w:tc>
          <w:tcPr>
            <w:tcW w:w="0" w:type="auto"/>
            <w:tcBorders>
              <w:top w:val="nil"/>
              <w:left w:val="nil"/>
              <w:bottom w:val="nil"/>
              <w:right w:val="nil"/>
            </w:tcBorders>
            <w:shd w:val="clear" w:color="000000" w:fill="203764"/>
            <w:noWrap/>
            <w:vAlign w:val="center"/>
            <w:hideMark/>
          </w:tcPr>
          <w:p w14:paraId="2D87EEF6" w14:textId="77777777" w:rsidR="003B4F9D" w:rsidRPr="003B4F9D" w:rsidRDefault="003B4F9D" w:rsidP="0047082C">
            <w:pPr>
              <w:spacing w:before="0" w:after="0" w:line="240" w:lineRule="auto"/>
              <w:jc w:val="center"/>
              <w:rPr>
                <w:rFonts w:ascii="Calibri" w:eastAsia="Times New Roman" w:hAnsi="Calibri" w:cs="Calibri"/>
                <w:color w:val="FFFFFF"/>
                <w:sz w:val="22"/>
              </w:rPr>
            </w:pPr>
            <w:r w:rsidRPr="003B4F9D">
              <w:rPr>
                <w:rFonts w:ascii="Calibri" w:eastAsia="Times New Roman" w:hAnsi="Calibri" w:cs="Calibri"/>
                <w:color w:val="FFFFFF"/>
                <w:sz w:val="22"/>
              </w:rPr>
              <w:t>Performance Ratio</w:t>
            </w:r>
          </w:p>
        </w:tc>
      </w:tr>
      <w:tr w:rsidR="00BA4445" w:rsidRPr="003B4F9D" w14:paraId="7E64D1F3" w14:textId="77777777" w:rsidTr="0047082C">
        <w:trPr>
          <w:trHeight w:val="20"/>
          <w:jc w:val="center"/>
        </w:trPr>
        <w:tc>
          <w:tcPr>
            <w:tcW w:w="0" w:type="auto"/>
            <w:tcBorders>
              <w:top w:val="nil"/>
              <w:left w:val="nil"/>
              <w:right w:val="nil"/>
            </w:tcBorders>
            <w:shd w:val="clear" w:color="auto" w:fill="auto"/>
            <w:noWrap/>
            <w:vAlign w:val="center"/>
            <w:hideMark/>
          </w:tcPr>
          <w:p w14:paraId="05826CAF" w14:textId="77777777" w:rsidR="003B4F9D" w:rsidRPr="003B4F9D" w:rsidRDefault="003B4F9D" w:rsidP="0047082C">
            <w:pPr>
              <w:spacing w:before="0" w:after="0" w:line="240" w:lineRule="auto"/>
              <w:jc w:val="center"/>
              <w:rPr>
                <w:rFonts w:ascii="Calibri" w:eastAsia="Times New Roman" w:hAnsi="Calibri" w:cs="Calibri"/>
                <w:color w:val="000000"/>
                <w:sz w:val="22"/>
              </w:rPr>
            </w:pPr>
            <w:r w:rsidRPr="003B4F9D">
              <w:rPr>
                <w:rFonts w:ascii="Calibri" w:eastAsia="Times New Roman" w:hAnsi="Calibri" w:cs="Calibri"/>
                <w:color w:val="000000"/>
                <w:sz w:val="22"/>
              </w:rPr>
              <w:t>PSE</w:t>
            </w:r>
          </w:p>
        </w:tc>
        <w:tc>
          <w:tcPr>
            <w:tcW w:w="0" w:type="auto"/>
            <w:tcBorders>
              <w:top w:val="nil"/>
              <w:left w:val="nil"/>
              <w:right w:val="nil"/>
            </w:tcBorders>
            <w:shd w:val="clear" w:color="auto" w:fill="auto"/>
            <w:noWrap/>
            <w:vAlign w:val="center"/>
            <w:hideMark/>
          </w:tcPr>
          <w:p w14:paraId="77903BB4" w14:textId="10B9B05C" w:rsidR="003B4F9D" w:rsidRPr="003B4F9D" w:rsidRDefault="003B4F9D" w:rsidP="0047082C">
            <w:pPr>
              <w:spacing w:before="0" w:after="0" w:line="240" w:lineRule="auto"/>
              <w:jc w:val="center"/>
              <w:rPr>
                <w:rFonts w:ascii="Calibri" w:eastAsia="Times New Roman" w:hAnsi="Calibri" w:cs="Calibri"/>
                <w:color w:val="000000"/>
                <w:sz w:val="22"/>
              </w:rPr>
            </w:pPr>
            <w:r>
              <w:rPr>
                <w:rFonts w:ascii="Calibri" w:eastAsia="Times New Roman" w:hAnsi="Calibri" w:cs="Calibri"/>
                <w:color w:val="000000"/>
                <w:sz w:val="22"/>
              </w:rPr>
              <w:t>2,530,656</w:t>
            </w:r>
          </w:p>
        </w:tc>
        <w:tc>
          <w:tcPr>
            <w:tcW w:w="0" w:type="auto"/>
            <w:tcBorders>
              <w:top w:val="nil"/>
              <w:left w:val="nil"/>
              <w:right w:val="nil"/>
            </w:tcBorders>
            <w:shd w:val="clear" w:color="auto" w:fill="auto"/>
            <w:noWrap/>
            <w:vAlign w:val="center"/>
            <w:hideMark/>
          </w:tcPr>
          <w:p w14:paraId="734F6931" w14:textId="45BB829C" w:rsidR="003B4F9D" w:rsidRPr="003B4F9D" w:rsidRDefault="003B4F9D" w:rsidP="0047082C">
            <w:pPr>
              <w:spacing w:before="0" w:after="0" w:line="240" w:lineRule="auto"/>
              <w:jc w:val="center"/>
              <w:rPr>
                <w:rFonts w:ascii="Calibri" w:eastAsia="Times New Roman" w:hAnsi="Calibri" w:cs="Calibri"/>
                <w:color w:val="000000"/>
                <w:sz w:val="22"/>
              </w:rPr>
            </w:pPr>
            <w:r w:rsidRPr="003B4F9D">
              <w:rPr>
                <w:rFonts w:ascii="Calibri" w:eastAsia="Times New Roman" w:hAnsi="Calibri" w:cs="Calibri"/>
                <w:color w:val="000000"/>
                <w:sz w:val="22"/>
              </w:rPr>
              <w:t>2,831,986</w:t>
            </w:r>
          </w:p>
        </w:tc>
        <w:tc>
          <w:tcPr>
            <w:tcW w:w="0" w:type="auto"/>
            <w:tcBorders>
              <w:top w:val="nil"/>
              <w:left w:val="nil"/>
              <w:right w:val="nil"/>
            </w:tcBorders>
            <w:shd w:val="clear" w:color="auto" w:fill="auto"/>
            <w:noWrap/>
            <w:vAlign w:val="center"/>
            <w:hideMark/>
          </w:tcPr>
          <w:p w14:paraId="48835FEE" w14:textId="458E769C" w:rsidR="003B4F9D" w:rsidRPr="003B4F9D" w:rsidRDefault="003B4F9D" w:rsidP="0047082C">
            <w:pPr>
              <w:spacing w:before="0" w:after="0" w:line="240" w:lineRule="auto"/>
              <w:jc w:val="center"/>
              <w:rPr>
                <w:rFonts w:ascii="Calibri" w:eastAsia="Times New Roman" w:hAnsi="Calibri" w:cs="Calibri"/>
                <w:color w:val="000000"/>
                <w:sz w:val="22"/>
              </w:rPr>
            </w:pPr>
            <w:r w:rsidRPr="003B4F9D">
              <w:rPr>
                <w:rFonts w:ascii="Calibri" w:eastAsia="Times New Roman" w:hAnsi="Calibri" w:cs="Calibri"/>
                <w:color w:val="000000"/>
                <w:sz w:val="22"/>
              </w:rPr>
              <w:t>582,038</w:t>
            </w:r>
          </w:p>
        </w:tc>
        <w:tc>
          <w:tcPr>
            <w:tcW w:w="0" w:type="auto"/>
            <w:tcBorders>
              <w:top w:val="nil"/>
              <w:left w:val="nil"/>
              <w:right w:val="nil"/>
            </w:tcBorders>
            <w:shd w:val="clear" w:color="000000" w:fill="ED7D31"/>
            <w:noWrap/>
            <w:vAlign w:val="center"/>
            <w:hideMark/>
          </w:tcPr>
          <w:p w14:paraId="73041349" w14:textId="77777777" w:rsidR="003B4F9D" w:rsidRPr="003B4F9D" w:rsidRDefault="003B4F9D" w:rsidP="0047082C">
            <w:pPr>
              <w:spacing w:before="0" w:after="0" w:line="240" w:lineRule="auto"/>
              <w:jc w:val="center"/>
              <w:rPr>
                <w:rFonts w:ascii="Calibri" w:eastAsia="Times New Roman" w:hAnsi="Calibri" w:cs="Calibri"/>
                <w:color w:val="000000"/>
                <w:sz w:val="22"/>
              </w:rPr>
            </w:pPr>
            <w:r w:rsidRPr="003B4F9D">
              <w:rPr>
                <w:rFonts w:ascii="Calibri" w:eastAsia="Times New Roman" w:hAnsi="Calibri" w:cs="Calibri"/>
                <w:color w:val="000000"/>
                <w:sz w:val="22"/>
              </w:rPr>
              <w:t>1.16</w:t>
            </w:r>
          </w:p>
        </w:tc>
      </w:tr>
      <w:tr w:rsidR="003B4F9D" w:rsidRPr="003B4F9D" w14:paraId="75D49490" w14:textId="77777777" w:rsidTr="0047082C">
        <w:trPr>
          <w:trHeight w:val="20"/>
          <w:jc w:val="center"/>
        </w:trPr>
        <w:tc>
          <w:tcPr>
            <w:tcW w:w="0" w:type="auto"/>
            <w:tcBorders>
              <w:top w:val="nil"/>
              <w:left w:val="nil"/>
              <w:bottom w:val="single" w:sz="4" w:space="0" w:color="auto"/>
              <w:right w:val="nil"/>
            </w:tcBorders>
            <w:shd w:val="clear" w:color="auto" w:fill="auto"/>
            <w:vAlign w:val="center"/>
            <w:hideMark/>
          </w:tcPr>
          <w:p w14:paraId="7CD74FFC" w14:textId="77777777" w:rsidR="003B4F9D" w:rsidRPr="003B4F9D" w:rsidRDefault="003B4F9D" w:rsidP="0047082C">
            <w:pPr>
              <w:spacing w:before="0" w:after="0" w:line="240" w:lineRule="auto"/>
              <w:jc w:val="center"/>
              <w:rPr>
                <w:rFonts w:ascii="Calibri" w:eastAsia="Times New Roman" w:hAnsi="Calibri" w:cs="Calibri"/>
                <w:color w:val="000000"/>
                <w:sz w:val="22"/>
              </w:rPr>
            </w:pPr>
            <w:r w:rsidRPr="003B4F9D">
              <w:rPr>
                <w:rFonts w:ascii="Calibri" w:eastAsia="Times New Roman" w:hAnsi="Calibri" w:cs="Calibri"/>
                <w:color w:val="000000"/>
                <w:sz w:val="22"/>
              </w:rPr>
              <w:t>PSE-</w:t>
            </w:r>
            <w:proofErr w:type="spellStart"/>
            <w:r w:rsidRPr="003B4F9D">
              <w:rPr>
                <w:rFonts w:ascii="Calibri" w:eastAsia="Times New Roman" w:hAnsi="Calibri" w:cs="Calibri"/>
                <w:color w:val="000000"/>
                <w:sz w:val="22"/>
              </w:rPr>
              <w:t>eGRID</w:t>
            </w:r>
            <w:proofErr w:type="spellEnd"/>
            <w:r w:rsidRPr="003B4F9D">
              <w:rPr>
                <w:rFonts w:ascii="Calibri" w:eastAsia="Times New Roman" w:hAnsi="Calibri" w:cs="Calibri"/>
                <w:color w:val="000000"/>
                <w:sz w:val="22"/>
              </w:rPr>
              <w:t xml:space="preserve"> equivalent</w:t>
            </w:r>
          </w:p>
        </w:tc>
        <w:tc>
          <w:tcPr>
            <w:tcW w:w="0" w:type="auto"/>
            <w:tcBorders>
              <w:top w:val="nil"/>
              <w:left w:val="nil"/>
              <w:bottom w:val="single" w:sz="4" w:space="0" w:color="auto"/>
              <w:right w:val="nil"/>
            </w:tcBorders>
            <w:shd w:val="clear" w:color="auto" w:fill="auto"/>
            <w:noWrap/>
            <w:vAlign w:val="center"/>
            <w:hideMark/>
          </w:tcPr>
          <w:p w14:paraId="6B24685C" w14:textId="6CA95170" w:rsidR="003B4F9D" w:rsidRPr="003B4F9D" w:rsidRDefault="003B4F9D" w:rsidP="0047082C">
            <w:pPr>
              <w:spacing w:before="0" w:after="0" w:line="240" w:lineRule="auto"/>
              <w:jc w:val="center"/>
              <w:rPr>
                <w:rFonts w:ascii="Calibri" w:eastAsia="Times New Roman" w:hAnsi="Calibri" w:cs="Calibri"/>
                <w:color w:val="000000"/>
                <w:sz w:val="22"/>
              </w:rPr>
            </w:pPr>
            <w:r>
              <w:rPr>
                <w:rFonts w:ascii="Calibri" w:eastAsia="Times New Roman" w:hAnsi="Calibri" w:cs="Calibri"/>
                <w:color w:val="000000"/>
                <w:sz w:val="22"/>
              </w:rPr>
              <w:t>2,185,949</w:t>
            </w:r>
          </w:p>
        </w:tc>
        <w:tc>
          <w:tcPr>
            <w:tcW w:w="0" w:type="auto"/>
            <w:tcBorders>
              <w:top w:val="nil"/>
              <w:left w:val="nil"/>
              <w:bottom w:val="single" w:sz="4" w:space="0" w:color="auto"/>
              <w:right w:val="nil"/>
            </w:tcBorders>
            <w:shd w:val="clear" w:color="auto" w:fill="auto"/>
            <w:noWrap/>
            <w:vAlign w:val="center"/>
            <w:hideMark/>
          </w:tcPr>
          <w:p w14:paraId="6EC48E53" w14:textId="4BD662EA" w:rsidR="003B4F9D" w:rsidRPr="003B4F9D" w:rsidRDefault="003B4F9D" w:rsidP="0047082C">
            <w:pPr>
              <w:spacing w:before="0" w:after="0" w:line="240" w:lineRule="auto"/>
              <w:jc w:val="center"/>
              <w:rPr>
                <w:rFonts w:ascii="Calibri" w:eastAsia="Times New Roman" w:hAnsi="Calibri" w:cs="Calibri"/>
                <w:color w:val="000000"/>
                <w:sz w:val="22"/>
              </w:rPr>
            </w:pPr>
            <w:r>
              <w:rPr>
                <w:rFonts w:ascii="Calibri" w:eastAsia="Times New Roman" w:hAnsi="Calibri" w:cs="Calibri"/>
                <w:color w:val="000000"/>
                <w:sz w:val="22"/>
              </w:rPr>
              <w:t>2,447,935</w:t>
            </w:r>
          </w:p>
        </w:tc>
        <w:tc>
          <w:tcPr>
            <w:tcW w:w="0" w:type="auto"/>
            <w:tcBorders>
              <w:top w:val="nil"/>
              <w:left w:val="nil"/>
              <w:bottom w:val="single" w:sz="4" w:space="0" w:color="auto"/>
              <w:right w:val="nil"/>
            </w:tcBorders>
            <w:shd w:val="clear" w:color="auto" w:fill="auto"/>
            <w:noWrap/>
            <w:vAlign w:val="center"/>
            <w:hideMark/>
          </w:tcPr>
          <w:p w14:paraId="0594FE91" w14:textId="544275D6" w:rsidR="003B4F9D" w:rsidRPr="003B4F9D" w:rsidRDefault="003B4F9D" w:rsidP="0047082C">
            <w:pPr>
              <w:spacing w:before="0" w:after="0" w:line="240" w:lineRule="auto"/>
              <w:jc w:val="center"/>
              <w:rPr>
                <w:rFonts w:ascii="Calibri" w:eastAsia="Times New Roman" w:hAnsi="Calibri" w:cs="Calibri"/>
                <w:color w:val="000000"/>
                <w:sz w:val="22"/>
              </w:rPr>
            </w:pPr>
            <w:r>
              <w:rPr>
                <w:rFonts w:ascii="Calibri" w:eastAsia="Times New Roman" w:hAnsi="Calibri" w:cs="Calibri"/>
                <w:color w:val="000000"/>
                <w:sz w:val="22"/>
              </w:rPr>
              <w:t>502,757</w:t>
            </w:r>
          </w:p>
        </w:tc>
        <w:tc>
          <w:tcPr>
            <w:tcW w:w="0" w:type="auto"/>
            <w:tcBorders>
              <w:top w:val="nil"/>
              <w:left w:val="nil"/>
              <w:bottom w:val="single" w:sz="4" w:space="0" w:color="auto"/>
              <w:right w:val="nil"/>
            </w:tcBorders>
            <w:shd w:val="clear" w:color="auto" w:fill="auto"/>
            <w:noWrap/>
            <w:vAlign w:val="center"/>
            <w:hideMark/>
          </w:tcPr>
          <w:p w14:paraId="3FF6B041" w14:textId="056913A5" w:rsidR="003B4F9D" w:rsidRPr="003B4F9D" w:rsidRDefault="003B4F9D" w:rsidP="0047082C">
            <w:pPr>
              <w:spacing w:before="0" w:after="0" w:line="240" w:lineRule="auto"/>
              <w:jc w:val="center"/>
              <w:rPr>
                <w:rFonts w:ascii="Calibri" w:eastAsia="Times New Roman" w:hAnsi="Calibri" w:cs="Calibri"/>
                <w:color w:val="000000"/>
                <w:sz w:val="22"/>
              </w:rPr>
            </w:pPr>
          </w:p>
        </w:tc>
      </w:tr>
      <w:tr w:rsidR="00BA4445" w:rsidRPr="003B4F9D" w14:paraId="46498612" w14:textId="77777777" w:rsidTr="0047082C">
        <w:trPr>
          <w:trHeight w:val="20"/>
          <w:jc w:val="center"/>
        </w:trPr>
        <w:tc>
          <w:tcPr>
            <w:tcW w:w="0" w:type="auto"/>
            <w:tcBorders>
              <w:top w:val="single" w:sz="4" w:space="0" w:color="auto"/>
              <w:left w:val="nil"/>
              <w:bottom w:val="nil"/>
              <w:right w:val="nil"/>
            </w:tcBorders>
            <w:shd w:val="clear" w:color="auto" w:fill="auto"/>
            <w:noWrap/>
            <w:vAlign w:val="center"/>
            <w:hideMark/>
          </w:tcPr>
          <w:p w14:paraId="7754482D" w14:textId="77777777" w:rsidR="003B4F9D" w:rsidRPr="003B4F9D" w:rsidRDefault="003B4F9D" w:rsidP="0047082C">
            <w:pPr>
              <w:spacing w:before="0" w:after="0" w:line="240" w:lineRule="auto"/>
              <w:jc w:val="center"/>
              <w:rPr>
                <w:rFonts w:ascii="Calibri" w:eastAsia="Times New Roman" w:hAnsi="Calibri" w:cs="Calibri"/>
                <w:color w:val="000000"/>
                <w:sz w:val="22"/>
              </w:rPr>
            </w:pPr>
            <w:r w:rsidRPr="003B4F9D">
              <w:rPr>
                <w:rFonts w:ascii="Calibri" w:eastAsia="Times New Roman" w:hAnsi="Calibri" w:cs="Calibri"/>
                <w:color w:val="000000"/>
                <w:sz w:val="22"/>
              </w:rPr>
              <w:t>SCL</w:t>
            </w:r>
          </w:p>
        </w:tc>
        <w:tc>
          <w:tcPr>
            <w:tcW w:w="0" w:type="auto"/>
            <w:tcBorders>
              <w:top w:val="single" w:sz="4" w:space="0" w:color="auto"/>
              <w:left w:val="nil"/>
              <w:bottom w:val="nil"/>
              <w:right w:val="nil"/>
            </w:tcBorders>
            <w:shd w:val="clear" w:color="auto" w:fill="auto"/>
            <w:noWrap/>
            <w:vAlign w:val="center"/>
            <w:hideMark/>
          </w:tcPr>
          <w:p w14:paraId="7761EDE4" w14:textId="1EDBFB45" w:rsidR="003B4F9D" w:rsidRPr="003B4F9D" w:rsidRDefault="003B4F9D" w:rsidP="0047082C">
            <w:pPr>
              <w:spacing w:before="0" w:after="0" w:line="240" w:lineRule="auto"/>
              <w:jc w:val="center"/>
              <w:rPr>
                <w:rFonts w:ascii="Calibri" w:eastAsia="Times New Roman" w:hAnsi="Calibri" w:cs="Calibri"/>
                <w:color w:val="000000"/>
                <w:sz w:val="22"/>
              </w:rPr>
            </w:pPr>
            <w:r>
              <w:rPr>
                <w:rFonts w:ascii="Calibri" w:eastAsia="Times New Roman" w:hAnsi="Calibri" w:cs="Calibri"/>
                <w:color w:val="000000"/>
                <w:sz w:val="22"/>
              </w:rPr>
              <w:t>66,420</w:t>
            </w:r>
          </w:p>
        </w:tc>
        <w:tc>
          <w:tcPr>
            <w:tcW w:w="0" w:type="auto"/>
            <w:tcBorders>
              <w:top w:val="single" w:sz="4" w:space="0" w:color="auto"/>
              <w:left w:val="nil"/>
              <w:bottom w:val="nil"/>
              <w:right w:val="nil"/>
            </w:tcBorders>
            <w:shd w:val="clear" w:color="auto" w:fill="auto"/>
            <w:noWrap/>
            <w:vAlign w:val="center"/>
            <w:hideMark/>
          </w:tcPr>
          <w:p w14:paraId="02F0344D" w14:textId="28EB218B" w:rsidR="003B4F9D" w:rsidRPr="003B4F9D" w:rsidRDefault="003B4F9D" w:rsidP="0047082C">
            <w:pPr>
              <w:spacing w:before="0" w:after="0" w:line="240" w:lineRule="auto"/>
              <w:jc w:val="center"/>
              <w:rPr>
                <w:rFonts w:ascii="Calibri" w:eastAsia="Times New Roman" w:hAnsi="Calibri" w:cs="Calibri"/>
                <w:color w:val="000000"/>
                <w:sz w:val="22"/>
              </w:rPr>
            </w:pPr>
            <w:r>
              <w:rPr>
                <w:rFonts w:ascii="Calibri" w:eastAsia="Times New Roman" w:hAnsi="Calibri" w:cs="Calibri"/>
                <w:color w:val="000000"/>
                <w:sz w:val="22"/>
              </w:rPr>
              <w:t>123,831</w:t>
            </w:r>
          </w:p>
        </w:tc>
        <w:tc>
          <w:tcPr>
            <w:tcW w:w="0" w:type="auto"/>
            <w:tcBorders>
              <w:top w:val="single" w:sz="4" w:space="0" w:color="auto"/>
              <w:left w:val="nil"/>
              <w:bottom w:val="nil"/>
              <w:right w:val="nil"/>
            </w:tcBorders>
            <w:shd w:val="clear" w:color="auto" w:fill="auto"/>
            <w:noWrap/>
            <w:vAlign w:val="center"/>
            <w:hideMark/>
          </w:tcPr>
          <w:p w14:paraId="541313D0" w14:textId="2B2353AB" w:rsidR="003B4F9D" w:rsidRPr="003B4F9D" w:rsidRDefault="003B4F9D" w:rsidP="0047082C">
            <w:pPr>
              <w:spacing w:before="0" w:after="0" w:line="240" w:lineRule="auto"/>
              <w:jc w:val="center"/>
              <w:rPr>
                <w:rFonts w:ascii="Calibri" w:eastAsia="Times New Roman" w:hAnsi="Calibri" w:cs="Calibri"/>
                <w:color w:val="000000"/>
                <w:sz w:val="22"/>
              </w:rPr>
            </w:pPr>
            <w:r>
              <w:rPr>
                <w:rFonts w:ascii="Calibri" w:eastAsia="Times New Roman" w:hAnsi="Calibri" w:cs="Calibri"/>
                <w:color w:val="000000"/>
                <w:sz w:val="22"/>
              </w:rPr>
              <w:t>29,576</w:t>
            </w:r>
          </w:p>
        </w:tc>
        <w:tc>
          <w:tcPr>
            <w:tcW w:w="0" w:type="auto"/>
            <w:tcBorders>
              <w:top w:val="single" w:sz="4" w:space="0" w:color="auto"/>
              <w:left w:val="nil"/>
              <w:bottom w:val="nil"/>
              <w:right w:val="nil"/>
            </w:tcBorders>
            <w:shd w:val="clear" w:color="000000" w:fill="ED7D31"/>
            <w:noWrap/>
            <w:vAlign w:val="center"/>
            <w:hideMark/>
          </w:tcPr>
          <w:p w14:paraId="7AEBE1FC" w14:textId="77777777" w:rsidR="003B4F9D" w:rsidRPr="003B4F9D" w:rsidRDefault="003B4F9D" w:rsidP="0047082C">
            <w:pPr>
              <w:spacing w:before="0" w:after="0" w:line="240" w:lineRule="auto"/>
              <w:jc w:val="center"/>
              <w:rPr>
                <w:rFonts w:ascii="Calibri" w:eastAsia="Times New Roman" w:hAnsi="Calibri" w:cs="Calibri"/>
                <w:color w:val="000000"/>
                <w:sz w:val="22"/>
              </w:rPr>
            </w:pPr>
            <w:r w:rsidRPr="003B4F9D">
              <w:rPr>
                <w:rFonts w:ascii="Calibri" w:eastAsia="Times New Roman" w:hAnsi="Calibri" w:cs="Calibri"/>
                <w:color w:val="000000"/>
                <w:sz w:val="22"/>
              </w:rPr>
              <w:t>0.06</w:t>
            </w:r>
          </w:p>
        </w:tc>
      </w:tr>
      <w:tr w:rsidR="003B4F9D" w:rsidRPr="003B4F9D" w14:paraId="58EA6BC6" w14:textId="77777777" w:rsidTr="0047082C">
        <w:trPr>
          <w:trHeight w:val="20"/>
          <w:jc w:val="center"/>
        </w:trPr>
        <w:tc>
          <w:tcPr>
            <w:tcW w:w="0" w:type="auto"/>
            <w:tcBorders>
              <w:top w:val="nil"/>
              <w:left w:val="nil"/>
              <w:bottom w:val="nil"/>
              <w:right w:val="nil"/>
            </w:tcBorders>
            <w:shd w:val="clear" w:color="auto" w:fill="auto"/>
            <w:vAlign w:val="center"/>
            <w:hideMark/>
          </w:tcPr>
          <w:p w14:paraId="0DA92E65" w14:textId="77777777" w:rsidR="003B4F9D" w:rsidRPr="003B4F9D" w:rsidRDefault="003B4F9D" w:rsidP="0047082C">
            <w:pPr>
              <w:spacing w:before="0" w:after="0" w:line="240" w:lineRule="auto"/>
              <w:jc w:val="center"/>
              <w:rPr>
                <w:rFonts w:ascii="Calibri" w:eastAsia="Times New Roman" w:hAnsi="Calibri" w:cs="Calibri"/>
                <w:color w:val="000000"/>
                <w:sz w:val="22"/>
              </w:rPr>
            </w:pPr>
            <w:r w:rsidRPr="003B4F9D">
              <w:rPr>
                <w:rFonts w:ascii="Calibri" w:eastAsia="Times New Roman" w:hAnsi="Calibri" w:cs="Calibri"/>
                <w:color w:val="000000"/>
                <w:sz w:val="22"/>
              </w:rPr>
              <w:t>SCL-</w:t>
            </w:r>
            <w:proofErr w:type="spellStart"/>
            <w:r w:rsidRPr="003B4F9D">
              <w:rPr>
                <w:rFonts w:ascii="Calibri" w:eastAsia="Times New Roman" w:hAnsi="Calibri" w:cs="Calibri"/>
                <w:color w:val="000000"/>
                <w:sz w:val="22"/>
              </w:rPr>
              <w:t>eGRID</w:t>
            </w:r>
            <w:proofErr w:type="spellEnd"/>
            <w:r w:rsidRPr="003B4F9D">
              <w:rPr>
                <w:rFonts w:ascii="Calibri" w:eastAsia="Times New Roman" w:hAnsi="Calibri" w:cs="Calibri"/>
                <w:color w:val="000000"/>
                <w:sz w:val="22"/>
              </w:rPr>
              <w:t xml:space="preserve"> equivalent</w:t>
            </w:r>
          </w:p>
        </w:tc>
        <w:tc>
          <w:tcPr>
            <w:tcW w:w="0" w:type="auto"/>
            <w:tcBorders>
              <w:top w:val="nil"/>
              <w:left w:val="nil"/>
              <w:bottom w:val="nil"/>
              <w:right w:val="nil"/>
            </w:tcBorders>
            <w:shd w:val="clear" w:color="auto" w:fill="auto"/>
            <w:noWrap/>
            <w:vAlign w:val="center"/>
            <w:hideMark/>
          </w:tcPr>
          <w:p w14:paraId="2E65819B" w14:textId="45BB7E67" w:rsidR="003B4F9D" w:rsidRPr="003B4F9D" w:rsidRDefault="003B4F9D" w:rsidP="0047082C">
            <w:pPr>
              <w:spacing w:before="0" w:after="0" w:line="240" w:lineRule="auto"/>
              <w:jc w:val="center"/>
              <w:rPr>
                <w:rFonts w:ascii="Calibri" w:eastAsia="Times New Roman" w:hAnsi="Calibri" w:cs="Calibri"/>
                <w:color w:val="000000"/>
                <w:sz w:val="22"/>
              </w:rPr>
            </w:pPr>
            <w:r>
              <w:rPr>
                <w:rFonts w:ascii="Calibri" w:eastAsia="Times New Roman" w:hAnsi="Calibri" w:cs="Calibri"/>
                <w:color w:val="000000"/>
                <w:sz w:val="22"/>
              </w:rPr>
              <w:t>1,211,722</w:t>
            </w:r>
          </w:p>
        </w:tc>
        <w:tc>
          <w:tcPr>
            <w:tcW w:w="0" w:type="auto"/>
            <w:tcBorders>
              <w:top w:val="nil"/>
              <w:left w:val="nil"/>
              <w:bottom w:val="nil"/>
              <w:right w:val="nil"/>
            </w:tcBorders>
            <w:shd w:val="clear" w:color="auto" w:fill="auto"/>
            <w:noWrap/>
            <w:vAlign w:val="center"/>
            <w:hideMark/>
          </w:tcPr>
          <w:p w14:paraId="0729D188" w14:textId="0A936CC3" w:rsidR="003B4F9D" w:rsidRPr="003B4F9D" w:rsidRDefault="003B4F9D" w:rsidP="0047082C">
            <w:pPr>
              <w:spacing w:before="0" w:after="0" w:line="240" w:lineRule="auto"/>
              <w:jc w:val="center"/>
              <w:rPr>
                <w:rFonts w:ascii="Calibri" w:eastAsia="Times New Roman" w:hAnsi="Calibri" w:cs="Calibri"/>
                <w:color w:val="000000"/>
                <w:sz w:val="22"/>
              </w:rPr>
            </w:pPr>
            <w:r>
              <w:rPr>
                <w:rFonts w:ascii="Calibri" w:eastAsia="Times New Roman" w:hAnsi="Calibri" w:cs="Calibri"/>
                <w:color w:val="000000"/>
                <w:sz w:val="22"/>
              </w:rPr>
              <w:t>2,063,026</w:t>
            </w:r>
          </w:p>
        </w:tc>
        <w:tc>
          <w:tcPr>
            <w:tcW w:w="0" w:type="auto"/>
            <w:tcBorders>
              <w:top w:val="nil"/>
              <w:left w:val="nil"/>
              <w:bottom w:val="nil"/>
              <w:right w:val="nil"/>
            </w:tcBorders>
            <w:shd w:val="clear" w:color="auto" w:fill="auto"/>
            <w:noWrap/>
            <w:vAlign w:val="center"/>
            <w:hideMark/>
          </w:tcPr>
          <w:p w14:paraId="6A58070D" w14:textId="7F1D6A74" w:rsidR="003B4F9D" w:rsidRPr="003B4F9D" w:rsidRDefault="003B4F9D" w:rsidP="0047082C">
            <w:pPr>
              <w:spacing w:before="0" w:after="0" w:line="240" w:lineRule="auto"/>
              <w:jc w:val="center"/>
              <w:rPr>
                <w:rFonts w:ascii="Calibri" w:eastAsia="Times New Roman" w:hAnsi="Calibri" w:cs="Calibri"/>
                <w:color w:val="000000"/>
                <w:sz w:val="22"/>
              </w:rPr>
            </w:pPr>
            <w:r>
              <w:rPr>
                <w:rFonts w:ascii="Calibri" w:eastAsia="Times New Roman" w:hAnsi="Calibri" w:cs="Calibri"/>
                <w:color w:val="000000"/>
                <w:sz w:val="22"/>
              </w:rPr>
              <w:t>491,888</w:t>
            </w:r>
          </w:p>
        </w:tc>
        <w:tc>
          <w:tcPr>
            <w:tcW w:w="0" w:type="auto"/>
            <w:tcBorders>
              <w:top w:val="nil"/>
              <w:left w:val="nil"/>
              <w:bottom w:val="nil"/>
              <w:right w:val="nil"/>
            </w:tcBorders>
            <w:shd w:val="clear" w:color="auto" w:fill="auto"/>
            <w:noWrap/>
            <w:vAlign w:val="center"/>
            <w:hideMark/>
          </w:tcPr>
          <w:p w14:paraId="4E1363D9" w14:textId="77777777" w:rsidR="003B4F9D" w:rsidRPr="003B4F9D" w:rsidRDefault="003B4F9D" w:rsidP="0047082C">
            <w:pPr>
              <w:spacing w:before="0" w:after="0" w:line="240" w:lineRule="auto"/>
              <w:jc w:val="center"/>
              <w:rPr>
                <w:rFonts w:ascii="Calibri" w:eastAsia="Times New Roman" w:hAnsi="Calibri" w:cs="Calibri"/>
                <w:color w:val="000000"/>
                <w:sz w:val="22"/>
              </w:rPr>
            </w:pPr>
          </w:p>
        </w:tc>
      </w:tr>
    </w:tbl>
    <w:commentRangeStart w:id="31"/>
    <w:p w14:paraId="2A1F802C" w14:textId="1EDA3337" w:rsidR="007F4430" w:rsidRPr="00C61A86" w:rsidRDefault="007F4430" w:rsidP="007F4430">
      <w:pPr>
        <w:pStyle w:val="Caption"/>
        <w:rPr>
          <w:b w:val="0"/>
          <w:iCs w:val="0"/>
        </w:rPr>
      </w:pPr>
      <w:r>
        <w:lastRenderedPageBreak/>
        <w:fldChar w:fldCharType="begin"/>
      </w:r>
      <w:r>
        <w:instrText xml:space="preserve"> LINK Excel.Sheet.12 "\\\\files\\dropbox\\projects\\_KING COUNTY\\KC Green Tools 2015\\Task 6.16 - KC GHG Inventory\\KC_2015_Report\\Copy of KC_report_figures_alm_BH.xlsx" Sheet3!R38C26:R42C30 \a \f 4 \h </w:instrText>
      </w:r>
      <w:r>
        <w:fldChar w:fldCharType="separate"/>
      </w:r>
    </w:p>
    <w:p w14:paraId="1584E683" w14:textId="4C2EB057" w:rsidR="007F4430" w:rsidRDefault="007F4430" w:rsidP="007F4430">
      <w:pPr>
        <w:pStyle w:val="Caption"/>
      </w:pPr>
      <w:r>
        <w:fldChar w:fldCharType="end"/>
      </w:r>
      <w:bookmarkStart w:id="32" w:name="_Ref483400651"/>
      <w:bookmarkStart w:id="33" w:name="_Ref483399338"/>
      <w:r>
        <w:t xml:space="preserve">Figure </w:t>
      </w:r>
      <w:fldSimple w:instr=" SEQ Figure \* ARABIC ">
        <w:r>
          <w:rPr>
            <w:noProof/>
          </w:rPr>
          <w:t>11</w:t>
        </w:r>
      </w:fldSimple>
      <w:bookmarkEnd w:id="32"/>
      <w:r>
        <w:t>. Utility-specific</w:t>
      </w:r>
      <w:r w:rsidR="00BA4445">
        <w:t xml:space="preserve"> and </w:t>
      </w:r>
      <w:proofErr w:type="spellStart"/>
      <w:r w:rsidR="00BA4445">
        <w:t>eGRID</w:t>
      </w:r>
      <w:proofErr w:type="spellEnd"/>
      <w:r w:rsidR="00BA4445">
        <w:t xml:space="preserve"> (NWPP)</w:t>
      </w:r>
      <w:r>
        <w:t xml:space="preserve"> electricity emissions factors for King County electricity utilities.</w:t>
      </w:r>
      <w:commentRangeEnd w:id="31"/>
      <w:r>
        <w:rPr>
          <w:rStyle w:val="CommentReference"/>
          <w:b w:val="0"/>
          <w:iCs w:val="0"/>
        </w:rPr>
        <w:commentReference w:id="31"/>
      </w:r>
    </w:p>
    <w:p w14:paraId="268BFC5B" w14:textId="667C5DFD" w:rsidR="007F4430" w:rsidRDefault="00BA4445" w:rsidP="0047082C">
      <w:pPr>
        <w:pStyle w:val="Caption"/>
        <w:jc w:val="center"/>
      </w:pPr>
      <w:r>
        <w:rPr>
          <w:noProof/>
        </w:rPr>
        <w:drawing>
          <wp:inline distT="0" distB="0" distL="0" distR="0" wp14:anchorId="580C6523" wp14:editId="25E1E78A">
            <wp:extent cx="5206365" cy="2590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6365" cy="2590800"/>
                    </a:xfrm>
                    <a:prstGeom prst="rect">
                      <a:avLst/>
                    </a:prstGeom>
                    <a:noFill/>
                  </pic:spPr>
                </pic:pic>
              </a:graphicData>
            </a:graphic>
          </wp:inline>
        </w:drawing>
      </w:r>
    </w:p>
    <w:p w14:paraId="635CF933" w14:textId="51E4CBAA" w:rsidR="007F4430" w:rsidRDefault="007F4430" w:rsidP="007F4430">
      <w:pPr>
        <w:pStyle w:val="Caption"/>
      </w:pPr>
      <w:r>
        <w:t xml:space="preserve">Figure </w:t>
      </w:r>
      <w:fldSimple w:instr=" SEQ Figure \* ARABIC ">
        <w:r>
          <w:rPr>
            <w:noProof/>
          </w:rPr>
          <w:t>12</w:t>
        </w:r>
      </w:fldSimple>
      <w:bookmarkEnd w:id="33"/>
      <w:r>
        <w:t xml:space="preserve">. Comparison of utility-specific and </w:t>
      </w:r>
      <w:proofErr w:type="spellStart"/>
      <w:r>
        <w:t>eGRID</w:t>
      </w:r>
      <w:proofErr w:type="spellEnd"/>
      <w:r>
        <w:t xml:space="preserve">-derived </w:t>
      </w:r>
      <w:r w:rsidR="00BA4445">
        <w:t xml:space="preserve">(NWPP) </w:t>
      </w:r>
      <w:r>
        <w:t>electricity emissions for King County.</w:t>
      </w:r>
    </w:p>
    <w:p w14:paraId="00D0FC53" w14:textId="10E6B50D" w:rsidR="007F4430" w:rsidRDefault="00BA4445" w:rsidP="0047082C">
      <w:pPr>
        <w:keepNext/>
        <w:jc w:val="center"/>
      </w:pPr>
      <w:r>
        <w:rPr>
          <w:noProof/>
        </w:rPr>
        <w:drawing>
          <wp:inline distT="0" distB="0" distL="0" distR="0" wp14:anchorId="6DFB505C" wp14:editId="0A022F8C">
            <wp:extent cx="4974590" cy="2597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4590" cy="2597150"/>
                    </a:xfrm>
                    <a:prstGeom prst="rect">
                      <a:avLst/>
                    </a:prstGeom>
                    <a:noFill/>
                  </pic:spPr>
                </pic:pic>
              </a:graphicData>
            </a:graphic>
          </wp:inline>
        </w:drawing>
      </w:r>
    </w:p>
    <w:p w14:paraId="6C6CAF67" w14:textId="77777777" w:rsidR="007F4430" w:rsidRDefault="007F4430" w:rsidP="007F4430">
      <w:pPr>
        <w:pStyle w:val="Heading3"/>
      </w:pPr>
      <w:r>
        <w:t>Transportation</w:t>
      </w:r>
    </w:p>
    <w:p w14:paraId="2091E58D" w14:textId="77777777" w:rsidR="007F4430" w:rsidRDefault="007F4430" w:rsidP="007F4430">
      <w:pPr>
        <w:pStyle w:val="Textafter"/>
      </w:pPr>
      <w:r>
        <w:t xml:space="preserve">Transportation accounted for </w:t>
      </w:r>
      <w:r w:rsidRPr="00562398">
        <w:t>35% of GHG emissions in 2015, and was the largest source of emissions after the built environment. Total transp</w:t>
      </w:r>
      <w:r>
        <w:t>ortation emissions have remained relatively steady since 2008 (</w:t>
      </w:r>
      <w:r>
        <w:fldChar w:fldCharType="begin"/>
      </w:r>
      <w:r>
        <w:instrText xml:space="preserve"> REF _Ref483401544 \h </w:instrText>
      </w:r>
      <w:r>
        <w:fldChar w:fldCharType="separate"/>
      </w:r>
      <w:r>
        <w:t xml:space="preserve">Figure </w:t>
      </w:r>
      <w:r>
        <w:rPr>
          <w:noProof/>
        </w:rPr>
        <w:t>12</w:t>
      </w:r>
      <w:r>
        <w:fldChar w:fldCharType="end"/>
      </w:r>
      <w:r>
        <w:t xml:space="preserve">), and have declined by </w:t>
      </w:r>
      <w:r w:rsidRPr="0031086E">
        <w:t>8</w:t>
      </w:r>
      <w:r>
        <w:t xml:space="preserve">% per capita within that </w:t>
      </w:r>
      <w:proofErr w:type="gramStart"/>
      <w:r>
        <w:t>time period</w:t>
      </w:r>
      <w:proofErr w:type="gramEnd"/>
      <w:r>
        <w:t xml:space="preserve">. Most transportation emissions in 2015 stemmed from passenger vehicles (76%). </w:t>
      </w:r>
    </w:p>
    <w:p w14:paraId="18201D3B" w14:textId="77777777" w:rsidR="007F4430" w:rsidRDefault="007F4430" w:rsidP="007F4430">
      <w:pPr>
        <w:pStyle w:val="Caption"/>
      </w:pPr>
      <w:r>
        <w:lastRenderedPageBreak/>
        <w:t xml:space="preserve">Figure </w:t>
      </w:r>
      <w:fldSimple w:instr=" SEQ Figure \* ARABIC ">
        <w:r>
          <w:rPr>
            <w:noProof/>
          </w:rPr>
          <w:t>13</w:t>
        </w:r>
      </w:fldSimple>
      <w:r>
        <w:t xml:space="preserve">. GHG emission sources for transportation in </w:t>
      </w:r>
      <w:commentRangeStart w:id="34"/>
      <w:commentRangeStart w:id="35"/>
      <w:r>
        <w:t>2015</w:t>
      </w:r>
      <w:commentRangeEnd w:id="34"/>
      <w:r>
        <w:rPr>
          <w:rStyle w:val="CommentReference"/>
          <w:b w:val="0"/>
          <w:iCs w:val="0"/>
        </w:rPr>
        <w:commentReference w:id="34"/>
      </w:r>
      <w:commentRangeEnd w:id="35"/>
      <w:r w:rsidR="009C04E5">
        <w:rPr>
          <w:rStyle w:val="CommentReference"/>
          <w:b w:val="0"/>
          <w:iCs w:val="0"/>
        </w:rPr>
        <w:commentReference w:id="35"/>
      </w:r>
      <w:r>
        <w:t>.</w:t>
      </w:r>
    </w:p>
    <w:p w14:paraId="230E0D18" w14:textId="2EF36F18" w:rsidR="007F4430" w:rsidRDefault="009C04E5" w:rsidP="0047082C">
      <w:pPr>
        <w:jc w:val="center"/>
      </w:pPr>
      <w:r>
        <w:rPr>
          <w:noProof/>
        </w:rPr>
        <w:drawing>
          <wp:inline distT="0" distB="0" distL="0" distR="0" wp14:anchorId="6F44AD85" wp14:editId="46C99FE2">
            <wp:extent cx="4572635" cy="30988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a:extLst>
                        <a:ext uri="{28A0092B-C50C-407E-A947-70E740481C1C}">
                          <a14:useLocalDpi xmlns:a14="http://schemas.microsoft.com/office/drawing/2010/main" val="0"/>
                        </a:ext>
                      </a:extLst>
                    </a:blip>
                    <a:srcRect b="7924"/>
                    <a:stretch/>
                  </pic:blipFill>
                  <pic:spPr bwMode="auto">
                    <a:xfrm>
                      <a:off x="0" y="0"/>
                      <a:ext cx="4572635" cy="3098800"/>
                    </a:xfrm>
                    <a:prstGeom prst="rect">
                      <a:avLst/>
                    </a:prstGeom>
                    <a:noFill/>
                    <a:ln>
                      <a:noFill/>
                    </a:ln>
                    <a:extLst>
                      <a:ext uri="{53640926-AAD7-44D8-BBD7-CCE9431645EC}">
                        <a14:shadowObscured xmlns:a14="http://schemas.microsoft.com/office/drawing/2010/main"/>
                      </a:ext>
                    </a:extLst>
                  </pic:spPr>
                </pic:pic>
              </a:graphicData>
            </a:graphic>
          </wp:inline>
        </w:drawing>
      </w:r>
    </w:p>
    <w:p w14:paraId="2DEC24DA" w14:textId="77777777" w:rsidR="007F4430" w:rsidRDefault="007F4430" w:rsidP="007F4430">
      <w:pPr>
        <w:pStyle w:val="Heading3"/>
      </w:pPr>
      <w:commentRangeStart w:id="36"/>
      <w:commentRangeStart w:id="37"/>
      <w:r>
        <w:t>Industry</w:t>
      </w:r>
      <w:commentRangeEnd w:id="36"/>
      <w:r>
        <w:rPr>
          <w:rStyle w:val="CommentReference"/>
          <w:b w:val="0"/>
          <w:caps w:val="0"/>
          <w:color w:val="auto"/>
          <w:spacing w:val="0"/>
        </w:rPr>
        <w:commentReference w:id="36"/>
      </w:r>
      <w:commentRangeEnd w:id="37"/>
      <w:r w:rsidR="00827F19">
        <w:rPr>
          <w:rStyle w:val="CommentReference"/>
          <w:b w:val="0"/>
          <w:caps w:val="0"/>
          <w:color w:val="auto"/>
          <w:spacing w:val="0"/>
        </w:rPr>
        <w:commentReference w:id="37"/>
      </w:r>
    </w:p>
    <w:p w14:paraId="574E8028" w14:textId="2252BC2D" w:rsidR="007F4430" w:rsidRDefault="007F4430" w:rsidP="007F4430">
      <w:r>
        <w:t>Indu</w:t>
      </w:r>
      <w:r w:rsidR="00BB509C">
        <w:t>strial GHG emissions increased 6</w:t>
      </w:r>
      <w:r>
        <w:t xml:space="preserve">% from 2008 to 2015. Emissions from electricity in the industrial sector have increased 2% to about 600,000 </w:t>
      </w:r>
      <w:r w:rsidRPr="00D52D6C">
        <w:t>MgCO</w:t>
      </w:r>
      <w:r w:rsidRPr="00D52D6C">
        <w:rPr>
          <w:vertAlign w:val="subscript"/>
        </w:rPr>
        <w:t>2</w:t>
      </w:r>
      <w:r w:rsidRPr="00D52D6C">
        <w:t>e</w:t>
      </w:r>
      <w:r>
        <w:t xml:space="preserve"> in 2015. Process emissions have declined. Emissions from stationary combustion increased 11% since 2008, even as electricity demand increased within the industrial sector.</w:t>
      </w:r>
      <w:r w:rsidR="00BB509C">
        <w:t xml:space="preserve"> Fugitive gas emissions increased 18% between 2008 and 2015.</w:t>
      </w:r>
    </w:p>
    <w:p w14:paraId="79976AE0" w14:textId="1C463E66" w:rsidR="007F4430" w:rsidRDefault="007F4430" w:rsidP="007F4430">
      <w:pPr>
        <w:pStyle w:val="Caption"/>
      </w:pPr>
      <w:r>
        <w:t xml:space="preserve">Figure </w:t>
      </w:r>
      <w:fldSimple w:instr=" SEQ Figure \* ARABIC ">
        <w:r>
          <w:rPr>
            <w:noProof/>
          </w:rPr>
          <w:t>15</w:t>
        </w:r>
      </w:fldSimple>
      <w:r>
        <w:t>. Sources of industrial emissions for King County in 2015</w:t>
      </w:r>
      <w:r w:rsidR="00BB509C">
        <w:t xml:space="preserve"> (total = 3.8 million MgCO</w:t>
      </w:r>
      <w:r w:rsidR="00BB509C" w:rsidRPr="00BB509C">
        <w:rPr>
          <w:vertAlign w:val="subscript"/>
        </w:rPr>
        <w:t>2</w:t>
      </w:r>
      <w:r w:rsidR="00BB509C">
        <w:t>e)</w:t>
      </w:r>
      <w:r>
        <w:t>.</w:t>
      </w:r>
    </w:p>
    <w:p w14:paraId="40EC063E" w14:textId="56F59561" w:rsidR="007F4430" w:rsidRPr="003F596E" w:rsidRDefault="00D67A64" w:rsidP="0047082C">
      <w:pPr>
        <w:jc w:val="center"/>
      </w:pPr>
      <w:r>
        <w:rPr>
          <w:noProof/>
        </w:rPr>
        <w:drawing>
          <wp:inline distT="0" distB="0" distL="0" distR="0" wp14:anchorId="444E2209" wp14:editId="5D81E6D4">
            <wp:extent cx="4017645" cy="21971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t="8497" b="7502"/>
                    <a:stretch/>
                  </pic:blipFill>
                  <pic:spPr bwMode="auto">
                    <a:xfrm>
                      <a:off x="0" y="0"/>
                      <a:ext cx="4017645" cy="2197100"/>
                    </a:xfrm>
                    <a:prstGeom prst="rect">
                      <a:avLst/>
                    </a:prstGeom>
                    <a:noFill/>
                    <a:ln>
                      <a:noFill/>
                    </a:ln>
                    <a:extLst>
                      <a:ext uri="{53640926-AAD7-44D8-BBD7-CCE9431645EC}">
                        <a14:shadowObscured xmlns:a14="http://schemas.microsoft.com/office/drawing/2010/main"/>
                      </a:ext>
                    </a:extLst>
                  </pic:spPr>
                </pic:pic>
              </a:graphicData>
            </a:graphic>
          </wp:inline>
        </w:drawing>
      </w:r>
    </w:p>
    <w:p w14:paraId="39B83D88" w14:textId="77777777" w:rsidR="007F4430" w:rsidRDefault="007F4430" w:rsidP="007F4430">
      <w:pPr>
        <w:pStyle w:val="Heading3"/>
      </w:pPr>
      <w:r>
        <w:lastRenderedPageBreak/>
        <w:t>Solid Waste</w:t>
      </w:r>
    </w:p>
    <w:p w14:paraId="6C1D6F68" w14:textId="20FCA694" w:rsidR="007F4430" w:rsidRDefault="007F4430" w:rsidP="007F4430">
      <w:r>
        <w:t xml:space="preserve">Emissions from solid waste disposal have declined in King County </w:t>
      </w:r>
      <w:r w:rsidR="00DE6517">
        <w:t>since 2003</w:t>
      </w:r>
      <w:r w:rsidR="0067631F">
        <w:t xml:space="preserve"> </w:t>
      </w:r>
      <w:r>
        <w:t>despite increasing population (</w:t>
      </w:r>
      <w:r>
        <w:fldChar w:fldCharType="begin"/>
      </w:r>
      <w:r>
        <w:instrText xml:space="preserve"> REF _Ref483404124 \h </w:instrText>
      </w:r>
      <w:r>
        <w:fldChar w:fldCharType="separate"/>
      </w:r>
      <w:r w:rsidR="0067631F">
        <w:t xml:space="preserve">Figure </w:t>
      </w:r>
      <w:r w:rsidR="0067631F">
        <w:rPr>
          <w:noProof/>
        </w:rPr>
        <w:t>16</w:t>
      </w:r>
      <w:r>
        <w:fldChar w:fldCharType="end"/>
      </w:r>
      <w:r>
        <w:t>). S</w:t>
      </w:r>
      <w:r w:rsidR="0067631F">
        <w:t>ince 2010, emissions have declined 5</w:t>
      </w:r>
      <w:r>
        <w:t xml:space="preserve">%, </w:t>
      </w:r>
      <w:r w:rsidR="00827F19">
        <w:t>totaling</w:t>
      </w:r>
      <w:r>
        <w:t xml:space="preserve"> </w:t>
      </w:r>
      <w:r w:rsidR="0067631F">
        <w:t>225,600</w:t>
      </w:r>
      <w:r>
        <w:t xml:space="preserve"> </w:t>
      </w:r>
      <w:r w:rsidRPr="00D52D6C">
        <w:t>MgCO</w:t>
      </w:r>
      <w:r w:rsidRPr="00D52D6C">
        <w:rPr>
          <w:vertAlign w:val="subscript"/>
        </w:rPr>
        <w:t>2</w:t>
      </w:r>
      <w:r w:rsidRPr="00D52D6C">
        <w:t>e</w:t>
      </w:r>
      <w:r>
        <w:t xml:space="preserve"> in 2015. Per-capita emissions </w:t>
      </w:r>
      <w:r w:rsidR="00DE6517">
        <w:t>have decreased 9</w:t>
      </w:r>
      <w:r>
        <w:t>%</w:t>
      </w:r>
      <w:r w:rsidR="00DE6517">
        <w:t xml:space="preserve"> over that same timeframe</w:t>
      </w:r>
      <w:r>
        <w:t>. These estimates do not include the carbon sequestration benefits of solid waste disposal—only the GHG emissions.</w:t>
      </w:r>
    </w:p>
    <w:p w14:paraId="4047E34A" w14:textId="77777777" w:rsidR="007F4430" w:rsidRDefault="007F4430" w:rsidP="007F4430">
      <w:pPr>
        <w:pStyle w:val="Caption"/>
      </w:pPr>
      <w:bookmarkStart w:id="38" w:name="_Ref483404124"/>
      <w:r>
        <w:t xml:space="preserve">Figure </w:t>
      </w:r>
      <w:fldSimple w:instr=" SEQ Figure \* ARABIC ">
        <w:r>
          <w:rPr>
            <w:noProof/>
          </w:rPr>
          <w:t>16</w:t>
        </w:r>
      </w:fldSimple>
      <w:bookmarkEnd w:id="38"/>
      <w:r>
        <w:t>. GHG emissions from waste disposal.</w:t>
      </w:r>
    </w:p>
    <w:p w14:paraId="20E76720" w14:textId="0DC15EAB" w:rsidR="007F4430" w:rsidRDefault="00DE6517" w:rsidP="007F4430">
      <w:r>
        <w:rPr>
          <w:noProof/>
        </w:rPr>
        <w:drawing>
          <wp:inline distT="0" distB="0" distL="0" distR="0" wp14:anchorId="10B62053" wp14:editId="2A62075E">
            <wp:extent cx="4584700" cy="278638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86380"/>
                    </a:xfrm>
                    <a:prstGeom prst="rect">
                      <a:avLst/>
                    </a:prstGeom>
                    <a:noFill/>
                  </pic:spPr>
                </pic:pic>
              </a:graphicData>
            </a:graphic>
          </wp:inline>
        </w:drawing>
      </w:r>
    </w:p>
    <w:p w14:paraId="2A51B68A" w14:textId="43BA23A0" w:rsidR="0047082C" w:rsidRPr="006D522E" w:rsidRDefault="0047082C" w:rsidP="007F4430">
      <w:r w:rsidRPr="0047082C">
        <w:rPr>
          <w:highlight w:val="yellow"/>
        </w:rPr>
        <w:t>[enter brief trend for landfill emissions]</w:t>
      </w:r>
    </w:p>
    <w:p w14:paraId="686BF6E9" w14:textId="5A4CC6ED" w:rsidR="007F4430" w:rsidRDefault="007F4430" w:rsidP="007F4430">
      <w:pPr>
        <w:pStyle w:val="Heading3"/>
      </w:pPr>
      <w:r>
        <w:t>Water and Waste</w:t>
      </w:r>
      <w:r w:rsidR="00470A78">
        <w:t>w</w:t>
      </w:r>
      <w:r>
        <w:t>ater</w:t>
      </w:r>
    </w:p>
    <w:p w14:paraId="10EC4301" w14:textId="32D9BB3C" w:rsidR="007F4430" w:rsidRDefault="007F4430" w:rsidP="007F4430">
      <w:r>
        <w:t xml:space="preserve">Potable water in King County is sourced from the Cedar River and </w:t>
      </w:r>
      <w:proofErr w:type="spellStart"/>
      <w:r>
        <w:t>Tolt</w:t>
      </w:r>
      <w:proofErr w:type="spellEnd"/>
      <w:r>
        <w:t xml:space="preserve"> watersheds. Within a community, emissions from potable water treatment and conveyance and wastewater treatment are dependent on the number of people served and the fuel mix of the energy source. Total emissions from potable water used in King County were under 1,000 </w:t>
      </w:r>
      <w:r w:rsidRPr="00562398">
        <w:t>MgCO</w:t>
      </w:r>
      <w:r w:rsidRPr="00562398">
        <w:rPr>
          <w:vertAlign w:val="subscript"/>
        </w:rPr>
        <w:t>2</w:t>
      </w:r>
      <w:r w:rsidRPr="00562398">
        <w:t>e</w:t>
      </w:r>
      <w:r>
        <w:t xml:space="preserve"> in 2015. Potable water related emissions come from energy use in water treatment and distribution. Overall, potable water is an extremely small source in King County.</w:t>
      </w:r>
    </w:p>
    <w:p w14:paraId="52D34897" w14:textId="65F0B028" w:rsidR="007F4430" w:rsidRPr="000277B1" w:rsidRDefault="007F4430" w:rsidP="007F4430">
      <w:r>
        <w:t>We estimate that wastewater emissions have increased by 9% from 2008 to 2015, and have been relatively stable on a per-capita basis over that period. King County supplies biosolids as fertilizer for several Washington operations, which likely reduces the need for artificial fertilizer. The GHG benefits associated with biosolid fertilizer applications are outside the scope of this inventory.</w:t>
      </w:r>
    </w:p>
    <w:p w14:paraId="0E94B0C9" w14:textId="77777777" w:rsidR="007F4430" w:rsidRDefault="007F4430" w:rsidP="007F4430">
      <w:pPr>
        <w:pStyle w:val="Heading3"/>
      </w:pPr>
      <w:r>
        <w:t>Agriculture and Land Use Change</w:t>
      </w:r>
    </w:p>
    <w:p w14:paraId="794EC005" w14:textId="60B84E58" w:rsidR="007F4430" w:rsidRDefault="007F4430" w:rsidP="007F4430">
      <w:r>
        <w:t xml:space="preserve">Agriculture accounts for only about 1% of GHG emissions in King County, and this relative contribution has remained steady over time. Emissions are primarily derived from enteric digestion of ruminants and </w:t>
      </w:r>
      <w:r>
        <w:lastRenderedPageBreak/>
        <w:t xml:space="preserve">manure. </w:t>
      </w:r>
      <w:r w:rsidRPr="00352238">
        <w:t>Enteri</w:t>
      </w:r>
      <w:r>
        <w:t>c emissions are increasing</w:t>
      </w:r>
      <w:r w:rsidRPr="00352238">
        <w:t xml:space="preserve"> despite declining per-cattle emissions</w:t>
      </w:r>
      <w:r>
        <w:t>, indicating an increase in the county’s animal population</w:t>
      </w:r>
      <w:r w:rsidRPr="00352238">
        <w:t>.</w:t>
      </w:r>
      <w:r>
        <w:t xml:space="preserve"> During the same ti</w:t>
      </w:r>
      <w:r w:rsidR="00BD5FBC">
        <w:t>me, manure emissions declined 31</w:t>
      </w:r>
      <w:r>
        <w:t xml:space="preserve">%. </w:t>
      </w:r>
    </w:p>
    <w:p w14:paraId="5D297813" w14:textId="1E5B082E" w:rsidR="007F4430" w:rsidRDefault="007F4430" w:rsidP="007F4430">
      <w:pPr>
        <w:rPr>
          <w:vertAlign w:val="subscript"/>
        </w:rPr>
      </w:pPr>
      <w:r w:rsidRPr="00180CD4">
        <w:t xml:space="preserve">Emissions from soil management increased </w:t>
      </w:r>
      <w:r w:rsidR="00BD5FBC">
        <w:t>13</w:t>
      </w:r>
      <w:r w:rsidRPr="00180CD4">
        <w:t xml:space="preserve">%, but remain very small compared to other sources. In 2015, soil management released 9,400 </w:t>
      </w:r>
      <w:r w:rsidRPr="00D52D6C">
        <w:t>MgCO</w:t>
      </w:r>
      <w:r w:rsidRPr="00D52D6C">
        <w:rPr>
          <w:vertAlign w:val="subscript"/>
        </w:rPr>
        <w:t>2</w:t>
      </w:r>
      <w:r w:rsidRPr="00D52D6C">
        <w:t>e</w:t>
      </w:r>
      <w:r w:rsidRPr="00180CD4">
        <w:t>.</w:t>
      </w:r>
      <w:r>
        <w:rPr>
          <w:vertAlign w:val="subscript"/>
        </w:rPr>
        <w:t xml:space="preserve"> </w:t>
      </w:r>
    </w:p>
    <w:p w14:paraId="1AF05F46" w14:textId="2754B7CD" w:rsidR="007F4430" w:rsidRPr="000277B1" w:rsidRDefault="00703008" w:rsidP="007F4430">
      <w:r>
        <w:t>We estimate that e</w:t>
      </w:r>
      <w:r w:rsidR="007F4430" w:rsidRPr="00352238">
        <w:t>missions</w:t>
      </w:r>
      <w:r w:rsidR="007F4430">
        <w:t xml:space="preserve"> from land use change has declined by 14% due to a decline in the number of building permits issued</w:t>
      </w:r>
      <w:r>
        <w:t xml:space="preserve"> and, consequently, acres of land cleared for new residential construction</w:t>
      </w:r>
      <w:r w:rsidR="007F4430">
        <w:t xml:space="preserve"> </w:t>
      </w:r>
      <w:r>
        <w:t xml:space="preserve">over that </w:t>
      </w:r>
      <w:proofErr w:type="gramStart"/>
      <w:r>
        <w:t>time period</w:t>
      </w:r>
      <w:proofErr w:type="gramEnd"/>
      <w:r>
        <w:t>.</w:t>
      </w:r>
    </w:p>
    <w:p w14:paraId="4E2A058B" w14:textId="12AD09DC" w:rsidR="0049222B" w:rsidRDefault="0049222B" w:rsidP="00EA2B08">
      <w:pPr>
        <w:pStyle w:val="Heading2"/>
      </w:pPr>
      <w:bookmarkStart w:id="39" w:name="_Toc493104902"/>
      <w:r>
        <w:t>Data Sources</w:t>
      </w:r>
      <w:bookmarkEnd w:id="39"/>
    </w:p>
    <w:p w14:paraId="5EBE067E" w14:textId="36EE04E8" w:rsidR="00CF01AE" w:rsidRPr="00CF01AE" w:rsidRDefault="00EC7EF0" w:rsidP="00CF2952">
      <w:r>
        <w:t>Conducting the</w:t>
      </w:r>
      <w:r w:rsidR="00B21C41">
        <w:t xml:space="preserve"> inventory involved acquiring the following</w:t>
      </w:r>
      <w:r>
        <w:t xml:space="preserve"> data</w:t>
      </w:r>
      <w:r w:rsidR="00B21C41">
        <w:t xml:space="preserve">, </w:t>
      </w:r>
      <w:r w:rsidR="0049222B">
        <w:t>summarized</w:t>
      </w:r>
      <w:r w:rsidR="00B21C41">
        <w:t xml:space="preserve"> in </w:t>
      </w:r>
      <w:r w:rsidR="00B21C41">
        <w:fldChar w:fldCharType="begin"/>
      </w:r>
      <w:r w:rsidR="00B21C41">
        <w:instrText xml:space="preserve"> REF _Ref482361977 \h </w:instrText>
      </w:r>
      <w:r w:rsidR="00B21C41">
        <w:fldChar w:fldCharType="separate"/>
      </w:r>
      <w:r w:rsidR="00B21C41">
        <w:t xml:space="preserve">Table </w:t>
      </w:r>
      <w:r w:rsidR="00B21C41">
        <w:rPr>
          <w:noProof/>
        </w:rPr>
        <w:t>2</w:t>
      </w:r>
      <w:r w:rsidR="00B21C41">
        <w:fldChar w:fldCharType="end"/>
      </w:r>
      <w:r w:rsidR="00B21C41">
        <w:t xml:space="preserve"> </w:t>
      </w:r>
      <w:r w:rsidR="0049222B">
        <w:t>and detailed in the following sections</w:t>
      </w:r>
      <w:r w:rsidR="00CF01AE" w:rsidRPr="00CF01AE">
        <w:t>:</w:t>
      </w:r>
    </w:p>
    <w:p w14:paraId="3AE4C48E" w14:textId="64713D69" w:rsidR="00CF01AE" w:rsidRPr="00CF01AE" w:rsidRDefault="00CF01AE" w:rsidP="00EA2B08">
      <w:pPr>
        <w:pStyle w:val="ListParagraph"/>
        <w:numPr>
          <w:ilvl w:val="0"/>
          <w:numId w:val="20"/>
        </w:numPr>
      </w:pPr>
      <w:r w:rsidRPr="00EA2B08">
        <w:rPr>
          <w:b/>
        </w:rPr>
        <w:t>Activity data</w:t>
      </w:r>
      <w:r w:rsidRPr="00CF01AE">
        <w:t xml:space="preserve"> </w:t>
      </w:r>
      <w:r>
        <w:t>that quantifies levels of activity that generate GHG emissions, such as miles traveled and kWh of electricity consumed.</w:t>
      </w:r>
    </w:p>
    <w:p w14:paraId="31F1CC56" w14:textId="4E23EBA7" w:rsidR="00CF01AE" w:rsidRPr="00CF01AE" w:rsidRDefault="00B21C41" w:rsidP="00EA2B08">
      <w:pPr>
        <w:pStyle w:val="ListParagraph"/>
        <w:numPr>
          <w:ilvl w:val="0"/>
          <w:numId w:val="20"/>
        </w:numPr>
      </w:pPr>
      <w:r>
        <w:rPr>
          <w:b/>
        </w:rPr>
        <w:t>E</w:t>
      </w:r>
      <w:r w:rsidR="00CF01AE" w:rsidRPr="00EA2B08">
        <w:rPr>
          <w:b/>
        </w:rPr>
        <w:t>mission factors</w:t>
      </w:r>
      <w:r w:rsidR="00CF01AE" w:rsidRPr="00CF01AE">
        <w:t xml:space="preserve"> </w:t>
      </w:r>
      <w:r w:rsidR="00277BBA">
        <w:t>that translate activit</w:t>
      </w:r>
      <w:r w:rsidR="00EA2B08">
        <w:t xml:space="preserve">y levels into emissions (e.g., </w:t>
      </w:r>
      <w:r w:rsidR="00D52D6C" w:rsidRPr="00D52D6C">
        <w:t>MgCO</w:t>
      </w:r>
      <w:r w:rsidR="00D52D6C" w:rsidRPr="00D52D6C">
        <w:rPr>
          <w:vertAlign w:val="subscript"/>
        </w:rPr>
        <w:t>2</w:t>
      </w:r>
      <w:r w:rsidR="00D52D6C" w:rsidRPr="00D52D6C">
        <w:t>e</w:t>
      </w:r>
      <w:r w:rsidR="00D52D6C">
        <w:t xml:space="preserve"> </w:t>
      </w:r>
      <w:r w:rsidR="00277BBA">
        <w:t>per kWh).</w:t>
      </w:r>
    </w:p>
    <w:p w14:paraId="761A4E92" w14:textId="74B93102" w:rsidR="00CF01AE" w:rsidRDefault="00CF01AE" w:rsidP="00EA2B08">
      <w:pPr>
        <w:pStyle w:val="Caption"/>
      </w:pPr>
      <w:bookmarkStart w:id="40" w:name="_Ref482361977"/>
      <w:r>
        <w:t xml:space="preserve">Table </w:t>
      </w:r>
      <w:fldSimple w:instr=" SEQ Table \* ARABIC ">
        <w:r w:rsidR="00F638BC">
          <w:rPr>
            <w:noProof/>
          </w:rPr>
          <w:t>6</w:t>
        </w:r>
      </w:fldSimple>
      <w:bookmarkEnd w:id="40"/>
      <w:r>
        <w:t xml:space="preserve">. Key data sources for King County’s </w:t>
      </w:r>
      <w:r w:rsidR="00B21148">
        <w:t xml:space="preserve">2015 </w:t>
      </w:r>
      <w:r>
        <w:t>geographic-plus inventory</w:t>
      </w:r>
      <w:r w:rsidR="00544DDA">
        <w:t>.</w:t>
      </w:r>
    </w:p>
    <w:tbl>
      <w:tblPr>
        <w:tblStyle w:val="TableGrid"/>
        <w:tblW w:w="0" w:type="auto"/>
        <w:tblLayout w:type="fixed"/>
        <w:tblLook w:val="04A0" w:firstRow="1" w:lastRow="0" w:firstColumn="1" w:lastColumn="0" w:noHBand="0" w:noVBand="1"/>
      </w:tblPr>
      <w:tblGrid>
        <w:gridCol w:w="2515"/>
        <w:gridCol w:w="3718"/>
        <w:gridCol w:w="3117"/>
      </w:tblGrid>
      <w:tr w:rsidR="00491D8E" w14:paraId="3A7B0896" w14:textId="77777777" w:rsidTr="00CF07FB">
        <w:trPr>
          <w:tblHeader/>
        </w:trPr>
        <w:tc>
          <w:tcPr>
            <w:tcW w:w="2515" w:type="dxa"/>
            <w:shd w:val="clear" w:color="auto" w:fill="F1B828" w:themeFill="accent6"/>
          </w:tcPr>
          <w:p w14:paraId="0E0B38C7" w14:textId="77777777" w:rsidR="00491D8E" w:rsidRDefault="00491D8E" w:rsidP="00437B25">
            <w:pPr>
              <w:spacing w:before="0" w:after="0"/>
              <w:contextualSpacing/>
            </w:pPr>
            <w:r>
              <w:t>Sector</w:t>
            </w:r>
          </w:p>
        </w:tc>
        <w:tc>
          <w:tcPr>
            <w:tcW w:w="3718" w:type="dxa"/>
            <w:shd w:val="clear" w:color="auto" w:fill="F1B828" w:themeFill="accent6"/>
          </w:tcPr>
          <w:p w14:paraId="5F8DE3E9" w14:textId="431733D7" w:rsidR="00491D8E" w:rsidRDefault="00491D8E" w:rsidP="00437B25">
            <w:pPr>
              <w:spacing w:before="0" w:after="0"/>
              <w:contextualSpacing/>
            </w:pPr>
            <w:r>
              <w:t>Activity</w:t>
            </w:r>
          </w:p>
        </w:tc>
        <w:tc>
          <w:tcPr>
            <w:tcW w:w="3117" w:type="dxa"/>
            <w:shd w:val="clear" w:color="auto" w:fill="F1B828" w:themeFill="accent6"/>
          </w:tcPr>
          <w:p w14:paraId="616D55A2" w14:textId="47F90255" w:rsidR="00491D8E" w:rsidRDefault="00491D8E" w:rsidP="00437B25">
            <w:pPr>
              <w:spacing w:before="0" w:after="0"/>
              <w:contextualSpacing/>
            </w:pPr>
            <w:r>
              <w:t>Emission Factors</w:t>
            </w:r>
          </w:p>
        </w:tc>
      </w:tr>
      <w:tr w:rsidR="00491D8E" w14:paraId="64DC4D26" w14:textId="77777777" w:rsidTr="00BB509C">
        <w:trPr>
          <w:cantSplit/>
        </w:trPr>
        <w:tc>
          <w:tcPr>
            <w:tcW w:w="2515" w:type="dxa"/>
          </w:tcPr>
          <w:p w14:paraId="1D052914" w14:textId="2B4BEA18" w:rsidR="00491D8E" w:rsidRDefault="00491D8E" w:rsidP="00437B25">
            <w:pPr>
              <w:contextualSpacing/>
            </w:pPr>
            <w:r>
              <w:t>Transportation (Road)</w:t>
            </w:r>
          </w:p>
        </w:tc>
        <w:tc>
          <w:tcPr>
            <w:tcW w:w="3718" w:type="dxa"/>
          </w:tcPr>
          <w:p w14:paraId="6A059BC9" w14:textId="41274DAA" w:rsidR="00491D8E" w:rsidRDefault="00491D8E" w:rsidP="00EA2B08">
            <w:pPr>
              <w:pStyle w:val="ListParagraph"/>
              <w:numPr>
                <w:ilvl w:val="0"/>
                <w:numId w:val="21"/>
              </w:numPr>
              <w:spacing w:before="0" w:after="0"/>
              <w:ind w:left="144" w:hanging="144"/>
            </w:pPr>
            <w:r>
              <w:t xml:space="preserve">Daily vehicle miles traveled </w:t>
            </w:r>
            <w:r w:rsidR="00EC7EF0">
              <w:t>(Puget Sound Regional Council)</w:t>
            </w:r>
          </w:p>
        </w:tc>
        <w:tc>
          <w:tcPr>
            <w:tcW w:w="3117" w:type="dxa"/>
          </w:tcPr>
          <w:p w14:paraId="137B8DB9" w14:textId="710F8ACD" w:rsidR="00FA0415" w:rsidRDefault="00013BDB" w:rsidP="00EA2B08">
            <w:pPr>
              <w:pStyle w:val="ListParagraph"/>
              <w:numPr>
                <w:ilvl w:val="0"/>
                <w:numId w:val="21"/>
              </w:numPr>
              <w:spacing w:before="0" w:after="0"/>
              <w:ind w:left="144" w:hanging="144"/>
            </w:pPr>
            <w:r>
              <w:t>EPA MOVES</w:t>
            </w:r>
            <w:r w:rsidR="000819CC">
              <w:t>2014a</w:t>
            </w:r>
            <w:r w:rsidR="00FA0415">
              <w:t xml:space="preserve"> model</w:t>
            </w:r>
          </w:p>
          <w:p w14:paraId="74365EB5" w14:textId="04AD9D63" w:rsidR="00491D8E" w:rsidRDefault="00491D8E" w:rsidP="00FA0415">
            <w:pPr>
              <w:pStyle w:val="ListParagraph"/>
              <w:spacing w:before="0" w:after="0"/>
              <w:ind w:left="144" w:firstLine="0"/>
            </w:pPr>
          </w:p>
        </w:tc>
      </w:tr>
      <w:tr w:rsidR="00F95C1F" w14:paraId="7A3C5EBC" w14:textId="77777777" w:rsidTr="00BB509C">
        <w:trPr>
          <w:cantSplit/>
        </w:trPr>
        <w:tc>
          <w:tcPr>
            <w:tcW w:w="2515" w:type="dxa"/>
          </w:tcPr>
          <w:p w14:paraId="428212CC" w14:textId="7C66B1B6" w:rsidR="00F95C1F" w:rsidRDefault="00F95C1F" w:rsidP="00437B25">
            <w:pPr>
              <w:contextualSpacing/>
            </w:pPr>
            <w:r>
              <w:t>Transportation (Transit)</w:t>
            </w:r>
          </w:p>
        </w:tc>
        <w:tc>
          <w:tcPr>
            <w:tcW w:w="3718" w:type="dxa"/>
          </w:tcPr>
          <w:p w14:paraId="13180709" w14:textId="2E0D3E82" w:rsidR="00312895" w:rsidRDefault="00312895" w:rsidP="00312895">
            <w:pPr>
              <w:pStyle w:val="ListParagraph"/>
              <w:numPr>
                <w:ilvl w:val="0"/>
                <w:numId w:val="21"/>
              </w:numPr>
              <w:spacing w:before="0" w:after="0"/>
              <w:ind w:left="144" w:hanging="144"/>
            </w:pPr>
            <w:r>
              <w:t>King County Metro and Sound Transit fuel use</w:t>
            </w:r>
          </w:p>
        </w:tc>
        <w:tc>
          <w:tcPr>
            <w:tcW w:w="3117" w:type="dxa"/>
          </w:tcPr>
          <w:p w14:paraId="1BD29F77" w14:textId="1C71BA09" w:rsidR="00F95C1F" w:rsidRDefault="00312895" w:rsidP="00EA2B08">
            <w:pPr>
              <w:pStyle w:val="ListParagraph"/>
              <w:numPr>
                <w:ilvl w:val="0"/>
                <w:numId w:val="21"/>
              </w:numPr>
              <w:spacing w:before="0" w:after="0"/>
              <w:ind w:left="144" w:hanging="144"/>
            </w:pPr>
            <w:r>
              <w:t xml:space="preserve">US EPA </w:t>
            </w:r>
            <w:sdt>
              <w:sdtPr>
                <w:id w:val="-477765856"/>
                <w:citation/>
              </w:sdtPr>
              <w:sdtContent>
                <w:r>
                  <w:fldChar w:fldCharType="begin"/>
                </w:r>
                <w:r>
                  <w:instrText xml:space="preserve">CITATION USE17 \l 1033 </w:instrText>
                </w:r>
                <w:r>
                  <w:fldChar w:fldCharType="separate"/>
                </w:r>
                <w:r>
                  <w:rPr>
                    <w:noProof/>
                  </w:rPr>
                  <w:t>(U.S. Environmental Protection Agency, 2015)</w:t>
                </w:r>
                <w:r>
                  <w:fldChar w:fldCharType="end"/>
                </w:r>
              </w:sdtContent>
            </w:sdt>
          </w:p>
        </w:tc>
      </w:tr>
      <w:tr w:rsidR="0017331D" w14:paraId="17986D4D" w14:textId="77777777" w:rsidTr="00BB509C">
        <w:trPr>
          <w:cantSplit/>
        </w:trPr>
        <w:tc>
          <w:tcPr>
            <w:tcW w:w="2515" w:type="dxa"/>
          </w:tcPr>
          <w:p w14:paraId="502490CB" w14:textId="7E632DB3" w:rsidR="0017331D" w:rsidRDefault="0017331D" w:rsidP="00437B25">
            <w:pPr>
              <w:contextualSpacing/>
            </w:pPr>
            <w:r>
              <w:t>Transportation (Air)</w:t>
            </w:r>
          </w:p>
        </w:tc>
        <w:tc>
          <w:tcPr>
            <w:tcW w:w="3718" w:type="dxa"/>
          </w:tcPr>
          <w:p w14:paraId="25D3A7A5" w14:textId="3B25ABD3" w:rsidR="0017331D" w:rsidRPr="006E7DDB" w:rsidRDefault="0017331D" w:rsidP="00E50211">
            <w:pPr>
              <w:pStyle w:val="ListParagraph"/>
              <w:numPr>
                <w:ilvl w:val="0"/>
                <w:numId w:val="21"/>
              </w:numPr>
              <w:spacing w:before="0" w:after="0"/>
              <w:ind w:left="144" w:hanging="144"/>
              <w:rPr>
                <w:iCs/>
                <w:noProof/>
              </w:rPr>
            </w:pPr>
            <w:r>
              <w:rPr>
                <w:iCs/>
                <w:noProof/>
              </w:rPr>
              <w:t xml:space="preserve">Jet fuel and aviation gas consumed at SeaTac </w:t>
            </w:r>
            <w:r w:rsidR="00E50211">
              <w:rPr>
                <w:iCs/>
                <w:noProof/>
              </w:rPr>
              <w:t xml:space="preserve">airport </w:t>
            </w:r>
            <w:r>
              <w:rPr>
                <w:iCs/>
                <w:noProof/>
              </w:rPr>
              <w:t>and Boeing Field</w:t>
            </w:r>
          </w:p>
        </w:tc>
        <w:tc>
          <w:tcPr>
            <w:tcW w:w="3117" w:type="dxa"/>
          </w:tcPr>
          <w:p w14:paraId="43D32DFF" w14:textId="3EAE3B32" w:rsidR="00E50211" w:rsidRDefault="00E50211" w:rsidP="00E50211">
            <w:pPr>
              <w:pStyle w:val="ListParagraph"/>
              <w:numPr>
                <w:ilvl w:val="0"/>
                <w:numId w:val="21"/>
              </w:numPr>
              <w:spacing w:before="0" w:after="0"/>
              <w:ind w:left="144" w:hanging="144"/>
            </w:pPr>
            <w:r>
              <w:t xml:space="preserve">US EPA </w:t>
            </w:r>
            <w:sdt>
              <w:sdtPr>
                <w:id w:val="-754581295"/>
                <w:citation/>
              </w:sdtPr>
              <w:sdtContent>
                <w:r>
                  <w:fldChar w:fldCharType="begin"/>
                </w:r>
                <w:r w:rsidR="006F1D68">
                  <w:instrText xml:space="preserve">CITATION USE17 \l 1033 </w:instrText>
                </w:r>
                <w:r>
                  <w:fldChar w:fldCharType="separate"/>
                </w:r>
                <w:r w:rsidR="006F1D68">
                  <w:rPr>
                    <w:noProof/>
                  </w:rPr>
                  <w:t>(U.S. Environmental Protection Agency, 2015)</w:t>
                </w:r>
                <w:r>
                  <w:fldChar w:fldCharType="end"/>
                </w:r>
              </w:sdtContent>
            </w:sdt>
          </w:p>
        </w:tc>
      </w:tr>
      <w:tr w:rsidR="0090295D" w14:paraId="5279C231" w14:textId="77777777" w:rsidTr="00BB509C">
        <w:trPr>
          <w:cantSplit/>
        </w:trPr>
        <w:tc>
          <w:tcPr>
            <w:tcW w:w="2515" w:type="dxa"/>
          </w:tcPr>
          <w:p w14:paraId="49BC56C1" w14:textId="2252C404" w:rsidR="0090295D" w:rsidRDefault="0090295D" w:rsidP="00437B25">
            <w:pPr>
              <w:contextualSpacing/>
            </w:pPr>
            <w:r>
              <w:t>Transportati</w:t>
            </w:r>
            <w:r w:rsidR="00C01A9D">
              <w:t>o</w:t>
            </w:r>
            <w:r>
              <w:t>n (Marine)</w:t>
            </w:r>
          </w:p>
        </w:tc>
        <w:tc>
          <w:tcPr>
            <w:tcW w:w="3718" w:type="dxa"/>
          </w:tcPr>
          <w:p w14:paraId="1AB66F2C" w14:textId="1B7F7A76" w:rsidR="0090295D" w:rsidRDefault="006E7DDB" w:rsidP="00EA2B08">
            <w:pPr>
              <w:pStyle w:val="ListParagraph"/>
              <w:numPr>
                <w:ilvl w:val="0"/>
                <w:numId w:val="21"/>
              </w:numPr>
              <w:spacing w:before="0" w:after="0"/>
              <w:ind w:left="144" w:hanging="144"/>
            </w:pPr>
            <w:r w:rsidRPr="006E7DDB">
              <w:rPr>
                <w:iCs/>
                <w:noProof/>
              </w:rPr>
              <w:t>Puget Soound Maritime Air Emissions Inventory</w:t>
            </w:r>
            <w:r w:rsidRPr="006E7DDB">
              <w:t xml:space="preserve"> </w:t>
            </w:r>
            <w:sdt>
              <w:sdtPr>
                <w:id w:val="-8996665"/>
                <w:citation/>
              </w:sdtPr>
              <w:sdtContent>
                <w:r w:rsidR="00F90FAE">
                  <w:fldChar w:fldCharType="begin"/>
                </w:r>
                <w:r w:rsidR="00F90FAE">
                  <w:instrText xml:space="preserve"> CITATION Pug12 \l 1033 </w:instrText>
                </w:r>
                <w:r w:rsidR="00F90FAE">
                  <w:fldChar w:fldCharType="separate"/>
                </w:r>
                <w:r w:rsidR="0040248B">
                  <w:rPr>
                    <w:noProof/>
                  </w:rPr>
                  <w:t>(Puget Sound Clean Air Agency, 2012)</w:t>
                </w:r>
                <w:r w:rsidR="00F90FAE">
                  <w:fldChar w:fldCharType="end"/>
                </w:r>
              </w:sdtContent>
            </w:sdt>
          </w:p>
          <w:p w14:paraId="5958F45E" w14:textId="7D319888" w:rsidR="0090295D" w:rsidRDefault="00CF07FB" w:rsidP="00EA2B08">
            <w:pPr>
              <w:pStyle w:val="ListParagraph"/>
              <w:numPr>
                <w:ilvl w:val="0"/>
                <w:numId w:val="21"/>
              </w:numPr>
              <w:spacing w:before="0" w:after="0"/>
              <w:ind w:left="144" w:hanging="144"/>
            </w:pPr>
            <w:r>
              <w:t xml:space="preserve">Washington State Ferries route statements </w:t>
            </w:r>
            <w:sdt>
              <w:sdtPr>
                <w:id w:val="386466897"/>
                <w:citation/>
              </w:sdtPr>
              <w:sdtContent>
                <w:r w:rsidR="00F90FAE">
                  <w:fldChar w:fldCharType="begin"/>
                </w:r>
                <w:r w:rsidR="00F90FAE">
                  <w:instrText xml:space="preserve"> CITATION Was151 \l 1033 </w:instrText>
                </w:r>
                <w:r w:rsidR="00F90FAE">
                  <w:fldChar w:fldCharType="separate"/>
                </w:r>
                <w:r w:rsidR="0040248B">
                  <w:rPr>
                    <w:noProof/>
                  </w:rPr>
                  <w:t>(Washington State Department of Transportation, 2015)</w:t>
                </w:r>
                <w:r w:rsidR="00F90FAE">
                  <w:fldChar w:fldCharType="end"/>
                </w:r>
              </w:sdtContent>
            </w:sdt>
          </w:p>
        </w:tc>
        <w:tc>
          <w:tcPr>
            <w:tcW w:w="3117" w:type="dxa"/>
          </w:tcPr>
          <w:p w14:paraId="61EEA631" w14:textId="77777777" w:rsidR="0090295D" w:rsidRDefault="0090295D" w:rsidP="00EA2B08">
            <w:pPr>
              <w:pStyle w:val="ListParagraph"/>
              <w:numPr>
                <w:ilvl w:val="0"/>
                <w:numId w:val="21"/>
              </w:numPr>
              <w:spacing w:before="0" w:after="0"/>
              <w:ind w:left="144" w:hanging="144"/>
            </w:pPr>
            <w:r>
              <w:t>EPA NONROAD</w:t>
            </w:r>
          </w:p>
          <w:p w14:paraId="44A39436" w14:textId="26D47A73" w:rsidR="00E50211" w:rsidRDefault="00E50211" w:rsidP="00E50211">
            <w:pPr>
              <w:pStyle w:val="ListParagraph"/>
              <w:numPr>
                <w:ilvl w:val="0"/>
                <w:numId w:val="21"/>
              </w:numPr>
              <w:spacing w:before="0" w:after="0"/>
              <w:ind w:left="144" w:hanging="144"/>
            </w:pPr>
            <w:r>
              <w:t xml:space="preserve">US EPA </w:t>
            </w:r>
            <w:sdt>
              <w:sdtPr>
                <w:id w:val="1485976398"/>
                <w:citation/>
              </w:sdtPr>
              <w:sdtContent>
                <w:r>
                  <w:fldChar w:fldCharType="begin"/>
                </w:r>
                <w:r w:rsidR="006F1D68">
                  <w:rPr>
                    <w:noProof/>
                  </w:rPr>
                  <w:instrText xml:space="preserve">CITATION USE17 \l 1033 </w:instrText>
                </w:r>
                <w:r>
                  <w:fldChar w:fldCharType="separate"/>
                </w:r>
                <w:r w:rsidR="006F1D68">
                  <w:rPr>
                    <w:noProof/>
                  </w:rPr>
                  <w:t>(U.S. Environmental Protection Agency, 2015)</w:t>
                </w:r>
                <w:r>
                  <w:fldChar w:fldCharType="end"/>
                </w:r>
              </w:sdtContent>
            </w:sdt>
          </w:p>
        </w:tc>
      </w:tr>
      <w:tr w:rsidR="00491D8E" w14:paraId="3A19B234" w14:textId="77777777" w:rsidTr="00BB509C">
        <w:trPr>
          <w:cantSplit/>
        </w:trPr>
        <w:tc>
          <w:tcPr>
            <w:tcW w:w="2515" w:type="dxa"/>
          </w:tcPr>
          <w:p w14:paraId="4BB846DC" w14:textId="1B6AA209" w:rsidR="00491D8E" w:rsidRDefault="00491D8E" w:rsidP="00437B25">
            <w:pPr>
              <w:contextualSpacing/>
            </w:pPr>
            <w:r>
              <w:t>Buildings and Industry (Electricity)</w:t>
            </w:r>
          </w:p>
        </w:tc>
        <w:tc>
          <w:tcPr>
            <w:tcW w:w="3718" w:type="dxa"/>
          </w:tcPr>
          <w:p w14:paraId="77834933" w14:textId="51EF1F2E" w:rsidR="00491D8E" w:rsidRDefault="00277BBA" w:rsidP="00EA2B08">
            <w:pPr>
              <w:pStyle w:val="ListParagraph"/>
              <w:numPr>
                <w:ilvl w:val="0"/>
                <w:numId w:val="21"/>
              </w:numPr>
              <w:spacing w:before="0" w:after="0"/>
              <w:ind w:left="144" w:hanging="144"/>
            </w:pPr>
            <w:r>
              <w:t>kWh</w:t>
            </w:r>
            <w:r w:rsidR="0049222B">
              <w:t xml:space="preserve"> consumption</w:t>
            </w:r>
            <w:r w:rsidR="00EC7EF0">
              <w:t xml:space="preserve"> (</w:t>
            </w:r>
            <w:r w:rsidR="00437B25">
              <w:t>SCL and PSE</w:t>
            </w:r>
            <w:r>
              <w:t>)</w:t>
            </w:r>
          </w:p>
        </w:tc>
        <w:tc>
          <w:tcPr>
            <w:tcW w:w="3117" w:type="dxa"/>
          </w:tcPr>
          <w:p w14:paraId="198C18F7" w14:textId="261AD2CA" w:rsidR="00233021" w:rsidRDefault="00F75594" w:rsidP="00EA2B08">
            <w:pPr>
              <w:pStyle w:val="ListParagraph"/>
              <w:numPr>
                <w:ilvl w:val="0"/>
                <w:numId w:val="21"/>
              </w:numPr>
              <w:spacing w:before="0" w:after="0"/>
              <w:ind w:left="144" w:hanging="144"/>
            </w:pPr>
            <w:r>
              <w:t>Utility fuel mix</w:t>
            </w:r>
            <w:r w:rsidR="00251707">
              <w:t xml:space="preserve"> </w:t>
            </w:r>
            <w:sdt>
              <w:sdtPr>
                <w:id w:val="1569304031"/>
                <w:citation/>
              </w:sdtPr>
              <w:sdtContent>
                <w:r w:rsidR="005277FA">
                  <w:fldChar w:fldCharType="begin"/>
                </w:r>
                <w:r w:rsidR="00BB304C">
                  <w:instrText xml:space="preserve">CITATION Was15 \l 1033 </w:instrText>
                </w:r>
                <w:r w:rsidR="005277FA">
                  <w:fldChar w:fldCharType="separate"/>
                </w:r>
                <w:r w:rsidR="0040248B">
                  <w:rPr>
                    <w:noProof/>
                  </w:rPr>
                  <w:t>(Washington State Department of Commerce, 2015)</w:t>
                </w:r>
                <w:r w:rsidR="005277FA">
                  <w:fldChar w:fldCharType="end"/>
                </w:r>
              </w:sdtContent>
            </w:sdt>
            <w:r w:rsidR="00BB304C">
              <w:t xml:space="preserve"> </w:t>
            </w:r>
          </w:p>
          <w:p w14:paraId="029C1D38" w14:textId="73BEB46A" w:rsidR="00491D8E" w:rsidRDefault="005E47DB" w:rsidP="00EA2B08">
            <w:pPr>
              <w:pStyle w:val="ListParagraph"/>
              <w:numPr>
                <w:ilvl w:val="0"/>
                <w:numId w:val="21"/>
              </w:numPr>
              <w:spacing w:before="0" w:after="0"/>
              <w:ind w:left="144" w:hanging="144"/>
            </w:pPr>
            <w:r>
              <w:t xml:space="preserve">SCL reported emission factors </w:t>
            </w:r>
            <w:sdt>
              <w:sdtPr>
                <w:id w:val="1402801268"/>
                <w:citation/>
              </w:sdtPr>
              <w:sdtContent>
                <w:r w:rsidR="00540AE3">
                  <w:fldChar w:fldCharType="begin"/>
                </w:r>
                <w:r w:rsidR="00540AE3">
                  <w:instrText xml:space="preserve"> CITATION The15 \l 1033 </w:instrText>
                </w:r>
                <w:r w:rsidR="00540AE3">
                  <w:fldChar w:fldCharType="separate"/>
                </w:r>
                <w:r w:rsidR="0040248B">
                  <w:rPr>
                    <w:noProof/>
                  </w:rPr>
                  <w:t>(The Climate Registry, 2015)</w:t>
                </w:r>
                <w:r w:rsidR="00540AE3">
                  <w:fldChar w:fldCharType="end"/>
                </w:r>
              </w:sdtContent>
            </w:sdt>
          </w:p>
        </w:tc>
      </w:tr>
      <w:tr w:rsidR="00491D8E" w14:paraId="5269422F" w14:textId="77777777" w:rsidTr="00BB509C">
        <w:trPr>
          <w:cantSplit/>
        </w:trPr>
        <w:tc>
          <w:tcPr>
            <w:tcW w:w="2515" w:type="dxa"/>
          </w:tcPr>
          <w:p w14:paraId="06D64BF7" w14:textId="7F44BB73" w:rsidR="00491D8E" w:rsidRDefault="00491D8E" w:rsidP="00437B25">
            <w:pPr>
              <w:contextualSpacing/>
            </w:pPr>
            <w:r>
              <w:t>Buil</w:t>
            </w:r>
            <w:r w:rsidR="00384FFD">
              <w:t>dings and Industry (Natural Gas and Oil)</w:t>
            </w:r>
          </w:p>
        </w:tc>
        <w:tc>
          <w:tcPr>
            <w:tcW w:w="3718" w:type="dxa"/>
          </w:tcPr>
          <w:p w14:paraId="423313DB" w14:textId="32129F9C" w:rsidR="00233021" w:rsidRDefault="00384FFD" w:rsidP="00EA2B08">
            <w:pPr>
              <w:pStyle w:val="ListParagraph"/>
              <w:numPr>
                <w:ilvl w:val="0"/>
                <w:numId w:val="21"/>
              </w:numPr>
              <w:spacing w:before="0" w:after="0"/>
              <w:ind w:left="144" w:hanging="144"/>
            </w:pPr>
            <w:r>
              <w:t xml:space="preserve">Gas use </w:t>
            </w:r>
            <w:r w:rsidR="00277BBA">
              <w:t>(</w:t>
            </w:r>
            <w:r w:rsidR="00437B25" w:rsidRPr="005E47DB">
              <w:t>PSE</w:t>
            </w:r>
            <w:r w:rsidR="001522D3" w:rsidRPr="005E47DB">
              <w:t xml:space="preserve"> provided</w:t>
            </w:r>
            <w:r w:rsidR="001522D3">
              <w:t xml:space="preserve"> by King County</w:t>
            </w:r>
            <w:r w:rsidR="00277BBA">
              <w:t>)</w:t>
            </w:r>
          </w:p>
          <w:p w14:paraId="662CE964" w14:textId="0E251B69" w:rsidR="00491D8E" w:rsidRDefault="00233021" w:rsidP="00EA2B08">
            <w:pPr>
              <w:pStyle w:val="ListParagraph"/>
              <w:numPr>
                <w:ilvl w:val="0"/>
                <w:numId w:val="21"/>
              </w:numPr>
              <w:spacing w:before="0" w:after="0"/>
              <w:ind w:left="144" w:hanging="144"/>
            </w:pPr>
            <w:r>
              <w:t>O</w:t>
            </w:r>
            <w:r w:rsidR="00384FFD">
              <w:t xml:space="preserve">il use </w:t>
            </w:r>
            <w:sdt>
              <w:sdtPr>
                <w:id w:val="-516241740"/>
                <w:citation/>
              </w:sdtPr>
              <w:sdtContent>
                <w:r w:rsidR="00F23851">
                  <w:fldChar w:fldCharType="begin"/>
                </w:r>
                <w:r w:rsidR="00F23851">
                  <w:instrText xml:space="preserve"> CITATION USE15 \l 1033 </w:instrText>
                </w:r>
                <w:r w:rsidR="00F23851">
                  <w:fldChar w:fldCharType="separate"/>
                </w:r>
                <w:r w:rsidR="0040248B">
                  <w:rPr>
                    <w:noProof/>
                  </w:rPr>
                  <w:t>(U.S. Energy Information Administration, 2015)</w:t>
                </w:r>
                <w:r w:rsidR="00F23851">
                  <w:fldChar w:fldCharType="end"/>
                </w:r>
              </w:sdtContent>
            </w:sdt>
          </w:p>
        </w:tc>
        <w:tc>
          <w:tcPr>
            <w:tcW w:w="3117" w:type="dxa"/>
          </w:tcPr>
          <w:p w14:paraId="6402970A" w14:textId="5B9D7EA3" w:rsidR="00491D8E" w:rsidRDefault="00384FFD" w:rsidP="00EA2B08">
            <w:pPr>
              <w:pStyle w:val="ListParagraph"/>
              <w:numPr>
                <w:ilvl w:val="0"/>
                <w:numId w:val="21"/>
              </w:numPr>
              <w:spacing w:before="0" w:after="0"/>
              <w:ind w:left="144" w:hanging="144"/>
            </w:pPr>
            <w:r>
              <w:t xml:space="preserve">Carbon content of </w:t>
            </w:r>
            <w:r w:rsidR="00277BBA">
              <w:t>n</w:t>
            </w:r>
            <w:r>
              <w:t>atural gas and oil</w:t>
            </w:r>
            <w:r w:rsidR="005E47DB">
              <w:t xml:space="preserve"> </w:t>
            </w:r>
            <w:sdt>
              <w:sdtPr>
                <w:id w:val="33852426"/>
                <w:citation/>
              </w:sdtPr>
              <w:sdtContent>
                <w:r w:rsidR="005E47DB">
                  <w:fldChar w:fldCharType="begin"/>
                </w:r>
                <w:r w:rsidR="006F1D68">
                  <w:instrText xml:space="preserve">CITATION USE17 \l 1033 </w:instrText>
                </w:r>
                <w:r w:rsidR="005E47DB">
                  <w:fldChar w:fldCharType="separate"/>
                </w:r>
                <w:r w:rsidR="006F1D68">
                  <w:rPr>
                    <w:noProof/>
                  </w:rPr>
                  <w:t>(U.S. Environmental Protection Agency, 2015)</w:t>
                </w:r>
                <w:r w:rsidR="005E47DB">
                  <w:fldChar w:fldCharType="end"/>
                </w:r>
              </w:sdtContent>
            </w:sdt>
          </w:p>
        </w:tc>
      </w:tr>
      <w:tr w:rsidR="00BB509C" w14:paraId="6307B250" w14:textId="77777777" w:rsidTr="00BB509C">
        <w:trPr>
          <w:cantSplit/>
        </w:trPr>
        <w:tc>
          <w:tcPr>
            <w:tcW w:w="2515" w:type="dxa"/>
          </w:tcPr>
          <w:p w14:paraId="33939559" w14:textId="1A4FC220" w:rsidR="00BB509C" w:rsidRDefault="00BB509C" w:rsidP="00BB509C">
            <w:pPr>
              <w:contextualSpacing/>
            </w:pPr>
            <w:r>
              <w:lastRenderedPageBreak/>
              <w:t>Fugitive Gases</w:t>
            </w:r>
          </w:p>
        </w:tc>
        <w:tc>
          <w:tcPr>
            <w:tcW w:w="3718" w:type="dxa"/>
          </w:tcPr>
          <w:p w14:paraId="00D705B1" w14:textId="77777777" w:rsidR="00BB509C" w:rsidRDefault="00BB509C" w:rsidP="00BB509C">
            <w:pPr>
              <w:pStyle w:val="ListParagraph"/>
              <w:numPr>
                <w:ilvl w:val="0"/>
                <w:numId w:val="21"/>
              </w:numPr>
              <w:spacing w:before="0" w:after="0"/>
              <w:ind w:left="144" w:hanging="144"/>
            </w:pPr>
            <w:r>
              <w:t>Substitution of ozone-depleting substances</w:t>
            </w:r>
          </w:p>
          <w:p w14:paraId="3FD53B85" w14:textId="54021664" w:rsidR="00BB509C" w:rsidRDefault="00BB509C" w:rsidP="00BB509C">
            <w:pPr>
              <w:pStyle w:val="ListParagraph"/>
              <w:numPr>
                <w:ilvl w:val="0"/>
                <w:numId w:val="21"/>
              </w:numPr>
              <w:spacing w:before="0" w:after="0"/>
              <w:ind w:left="144" w:hanging="144"/>
            </w:pPr>
            <w:r>
              <w:t>SF</w:t>
            </w:r>
            <w:r w:rsidRPr="00312895">
              <w:rPr>
                <w:vertAlign w:val="subscript"/>
              </w:rPr>
              <w:t>6</w:t>
            </w:r>
            <w:r>
              <w:rPr>
                <w:vertAlign w:val="subscript"/>
              </w:rPr>
              <w:t xml:space="preserve"> </w:t>
            </w:r>
            <w:r>
              <w:t>emissions from electric utility switchgear insulation</w:t>
            </w:r>
          </w:p>
        </w:tc>
        <w:tc>
          <w:tcPr>
            <w:tcW w:w="3117" w:type="dxa"/>
          </w:tcPr>
          <w:p w14:paraId="6F21D1EB" w14:textId="77777777" w:rsidR="00BB509C" w:rsidRDefault="00BB509C" w:rsidP="00BB509C">
            <w:pPr>
              <w:pStyle w:val="ListParagraph"/>
              <w:numPr>
                <w:ilvl w:val="0"/>
                <w:numId w:val="21"/>
              </w:numPr>
              <w:spacing w:before="0" w:after="0"/>
              <w:ind w:left="144" w:hanging="144"/>
            </w:pPr>
            <w:r>
              <w:t xml:space="preserve">US EPA </w:t>
            </w:r>
            <w:sdt>
              <w:sdtPr>
                <w:id w:val="1655181611"/>
                <w:citation/>
              </w:sdtPr>
              <w:sdtContent>
                <w:r>
                  <w:fldChar w:fldCharType="begin"/>
                </w:r>
                <w:r>
                  <w:instrText xml:space="preserve"> CITATION USE17 \l 1033 </w:instrText>
                </w:r>
                <w:r>
                  <w:fldChar w:fldCharType="separate"/>
                </w:r>
                <w:r>
                  <w:rPr>
                    <w:noProof/>
                  </w:rPr>
                  <w:t>(U.S. Environmental Protection Agency, 2015)</w:t>
                </w:r>
                <w:r>
                  <w:fldChar w:fldCharType="end"/>
                </w:r>
              </w:sdtContent>
            </w:sdt>
          </w:p>
          <w:p w14:paraId="72593308" w14:textId="7F7F16A2" w:rsidR="00BB509C" w:rsidRDefault="00BB509C" w:rsidP="00BB509C">
            <w:pPr>
              <w:pStyle w:val="ListParagraph"/>
              <w:numPr>
                <w:ilvl w:val="0"/>
                <w:numId w:val="21"/>
              </w:numPr>
              <w:spacing w:before="0" w:after="0"/>
              <w:ind w:left="144" w:hanging="144"/>
            </w:pPr>
            <w:r>
              <w:t>IPCC</w:t>
            </w:r>
          </w:p>
        </w:tc>
      </w:tr>
      <w:tr w:rsidR="00BB509C" w14:paraId="1CEEC903" w14:textId="77777777" w:rsidTr="00BB509C">
        <w:trPr>
          <w:cantSplit/>
        </w:trPr>
        <w:tc>
          <w:tcPr>
            <w:tcW w:w="2515" w:type="dxa"/>
          </w:tcPr>
          <w:p w14:paraId="2B1CDFF7" w14:textId="7D407EB3" w:rsidR="00BB509C" w:rsidRDefault="00BB509C" w:rsidP="00BB509C">
            <w:pPr>
              <w:contextualSpacing/>
            </w:pPr>
            <w:r>
              <w:t>Solid Waste</w:t>
            </w:r>
          </w:p>
        </w:tc>
        <w:tc>
          <w:tcPr>
            <w:tcW w:w="3718" w:type="dxa"/>
          </w:tcPr>
          <w:p w14:paraId="26CA7546" w14:textId="77777777" w:rsidR="00BB509C" w:rsidRDefault="00BB509C" w:rsidP="00BB509C">
            <w:pPr>
              <w:pStyle w:val="ListParagraph"/>
              <w:numPr>
                <w:ilvl w:val="0"/>
                <w:numId w:val="21"/>
              </w:numPr>
              <w:spacing w:before="0" w:after="0"/>
              <w:ind w:left="144" w:hanging="144"/>
            </w:pPr>
            <w:r>
              <w:t xml:space="preserve">Landfill gas generation </w:t>
            </w:r>
          </w:p>
          <w:p w14:paraId="0DC8C6DF" w14:textId="436C73D7" w:rsidR="00BB509C" w:rsidRDefault="00BB509C" w:rsidP="00BB509C">
            <w:pPr>
              <w:pStyle w:val="ListParagraph"/>
              <w:numPr>
                <w:ilvl w:val="0"/>
                <w:numId w:val="21"/>
              </w:numPr>
              <w:spacing w:before="0" w:after="0"/>
              <w:ind w:left="144" w:hanging="144"/>
            </w:pPr>
            <w:r>
              <w:t xml:space="preserve">Tons disposed and composted </w:t>
            </w:r>
            <w:sdt>
              <w:sdtPr>
                <w:id w:val="1853300892"/>
                <w:citation/>
              </w:sdtPr>
              <w:sdtContent>
                <w:r>
                  <w:fldChar w:fldCharType="begin"/>
                </w:r>
                <w:r>
                  <w:instrText xml:space="preserve"> CITATION Kin15 \l 1033 </w:instrText>
                </w:r>
                <w:r>
                  <w:fldChar w:fldCharType="separate"/>
                </w:r>
                <w:r>
                  <w:rPr>
                    <w:noProof/>
                  </w:rPr>
                  <w:t>(King County, 2017)</w:t>
                </w:r>
                <w:r>
                  <w:fldChar w:fldCharType="end"/>
                </w:r>
              </w:sdtContent>
            </w:sdt>
          </w:p>
        </w:tc>
        <w:tc>
          <w:tcPr>
            <w:tcW w:w="3117" w:type="dxa"/>
          </w:tcPr>
          <w:p w14:paraId="677C8462" w14:textId="38ED81A4" w:rsidR="00BB509C" w:rsidRDefault="00BB509C" w:rsidP="00BB509C">
            <w:pPr>
              <w:pStyle w:val="ListParagraph"/>
              <w:numPr>
                <w:ilvl w:val="0"/>
                <w:numId w:val="21"/>
              </w:numPr>
              <w:spacing w:before="0" w:after="0"/>
              <w:ind w:left="144" w:hanging="144"/>
            </w:pPr>
            <w:r>
              <w:t xml:space="preserve">US </w:t>
            </w:r>
            <w:commentRangeStart w:id="41"/>
            <w:r>
              <w:t>EPA WARM v14 model</w:t>
            </w:r>
          </w:p>
          <w:p w14:paraId="6A821F11" w14:textId="35D5D344" w:rsidR="00BB509C" w:rsidRDefault="00BB509C" w:rsidP="00BB509C">
            <w:pPr>
              <w:pStyle w:val="ListParagraph"/>
              <w:numPr>
                <w:ilvl w:val="0"/>
                <w:numId w:val="21"/>
              </w:numPr>
              <w:spacing w:before="0" w:after="0"/>
              <w:ind w:left="144" w:hanging="144"/>
            </w:pPr>
            <w:r>
              <w:t xml:space="preserve">Customized landfill methane capture rates </w:t>
            </w:r>
            <w:sdt>
              <w:sdtPr>
                <w:id w:val="1431858565"/>
                <w:citation/>
              </w:sdtPr>
              <w:sdtContent>
                <w:r>
                  <w:fldChar w:fldCharType="begin"/>
                </w:r>
                <w:r>
                  <w:instrText xml:space="preserve"> CITATION Cov14 \l 1033 </w:instrText>
                </w:r>
                <w:r>
                  <w:fldChar w:fldCharType="separate"/>
                </w:r>
                <w:r>
                  <w:rPr>
                    <w:noProof/>
                  </w:rPr>
                  <w:t>(Coven, et al., 2014)</w:t>
                </w:r>
                <w:r>
                  <w:fldChar w:fldCharType="end"/>
                </w:r>
              </w:sdtContent>
            </w:sdt>
            <w:commentRangeEnd w:id="41"/>
            <w:r>
              <w:rPr>
                <w:rStyle w:val="CommentReference"/>
              </w:rPr>
              <w:commentReference w:id="41"/>
            </w:r>
          </w:p>
        </w:tc>
      </w:tr>
      <w:tr w:rsidR="00BB509C" w14:paraId="6F899A16" w14:textId="77777777" w:rsidTr="00BB509C">
        <w:trPr>
          <w:cantSplit/>
        </w:trPr>
        <w:tc>
          <w:tcPr>
            <w:tcW w:w="2515" w:type="dxa"/>
          </w:tcPr>
          <w:p w14:paraId="4CC6C985" w14:textId="68BC5016" w:rsidR="00BB509C" w:rsidRDefault="00BB509C" w:rsidP="00BB509C">
            <w:pPr>
              <w:contextualSpacing/>
            </w:pPr>
            <w:r>
              <w:t>Wastewater</w:t>
            </w:r>
          </w:p>
        </w:tc>
        <w:tc>
          <w:tcPr>
            <w:tcW w:w="3718" w:type="dxa"/>
          </w:tcPr>
          <w:p w14:paraId="012DE12A" w14:textId="1298F8DD" w:rsidR="00BB509C" w:rsidRDefault="00BB509C" w:rsidP="00BB509C">
            <w:pPr>
              <w:pStyle w:val="ListParagraph"/>
              <w:numPr>
                <w:ilvl w:val="0"/>
                <w:numId w:val="21"/>
              </w:numPr>
              <w:spacing w:before="0" w:after="0"/>
              <w:ind w:left="144" w:hanging="144"/>
            </w:pPr>
            <w:r>
              <w:t>Wastewater treatment rates from King County and Seattle Public Utilities</w:t>
            </w:r>
          </w:p>
        </w:tc>
        <w:tc>
          <w:tcPr>
            <w:tcW w:w="3117" w:type="dxa"/>
          </w:tcPr>
          <w:p w14:paraId="6754A13D" w14:textId="77777777" w:rsidR="00BB509C" w:rsidRDefault="00BB509C" w:rsidP="00BB509C">
            <w:pPr>
              <w:pStyle w:val="ListParagraph"/>
              <w:numPr>
                <w:ilvl w:val="0"/>
                <w:numId w:val="21"/>
              </w:numPr>
              <w:spacing w:before="0" w:after="0"/>
              <w:ind w:left="144" w:hanging="144"/>
            </w:pPr>
            <w:commentRangeStart w:id="42"/>
            <w:r>
              <w:t>National wastewater factors</w:t>
            </w:r>
          </w:p>
          <w:p w14:paraId="5823C6AC" w14:textId="3AD42078" w:rsidR="00BB509C" w:rsidRDefault="0061769F" w:rsidP="00BB509C">
            <w:pPr>
              <w:pStyle w:val="ListParagraph"/>
              <w:spacing w:before="0" w:after="0"/>
              <w:ind w:left="144" w:firstLine="0"/>
            </w:pPr>
            <w:sdt>
              <w:sdtPr>
                <w:id w:val="849142886"/>
                <w:citation/>
              </w:sdtPr>
              <w:sdtContent>
                <w:r w:rsidR="00BB509C">
                  <w:fldChar w:fldCharType="begin"/>
                </w:r>
                <w:r w:rsidR="00BB509C">
                  <w:instrText xml:space="preserve"> CITATION Loc13 \l 1033 </w:instrText>
                </w:r>
                <w:r w:rsidR="00BB509C">
                  <w:fldChar w:fldCharType="separate"/>
                </w:r>
                <w:r w:rsidR="00BB509C">
                  <w:rPr>
                    <w:noProof/>
                  </w:rPr>
                  <w:t>(Local Governments for Sustainability USA, 2013)</w:t>
                </w:r>
                <w:r w:rsidR="00BB509C">
                  <w:fldChar w:fldCharType="end"/>
                </w:r>
              </w:sdtContent>
            </w:sdt>
            <w:r w:rsidR="00BB509C">
              <w:t xml:space="preserve"> </w:t>
            </w:r>
            <w:commentRangeEnd w:id="42"/>
            <w:r w:rsidR="00BB509C">
              <w:rPr>
                <w:rStyle w:val="CommentReference"/>
              </w:rPr>
              <w:commentReference w:id="42"/>
            </w:r>
          </w:p>
        </w:tc>
      </w:tr>
      <w:tr w:rsidR="00BB509C" w14:paraId="55F42186" w14:textId="77777777" w:rsidTr="00BB509C">
        <w:trPr>
          <w:cantSplit/>
        </w:trPr>
        <w:tc>
          <w:tcPr>
            <w:tcW w:w="2515" w:type="dxa"/>
          </w:tcPr>
          <w:p w14:paraId="0FA238E8" w14:textId="34DA062B" w:rsidR="00BB509C" w:rsidRDefault="00BB509C" w:rsidP="00BB509C">
            <w:pPr>
              <w:contextualSpacing/>
            </w:pPr>
            <w:r>
              <w:t>Water</w:t>
            </w:r>
          </w:p>
        </w:tc>
        <w:tc>
          <w:tcPr>
            <w:tcW w:w="3718" w:type="dxa"/>
          </w:tcPr>
          <w:p w14:paraId="5D6DD453" w14:textId="597611E4" w:rsidR="00BB509C" w:rsidRDefault="00BB509C" w:rsidP="00BB509C">
            <w:pPr>
              <w:pStyle w:val="ListParagraph"/>
              <w:numPr>
                <w:ilvl w:val="0"/>
                <w:numId w:val="21"/>
              </w:numPr>
              <w:spacing w:before="0" w:after="0"/>
              <w:ind w:left="144" w:hanging="144"/>
            </w:pPr>
            <w:r>
              <w:t>Quantity and use provided by Seattle Public Utilities</w:t>
            </w:r>
          </w:p>
        </w:tc>
        <w:tc>
          <w:tcPr>
            <w:tcW w:w="3117" w:type="dxa"/>
          </w:tcPr>
          <w:p w14:paraId="59776F42" w14:textId="22856CC4" w:rsidR="00BB509C" w:rsidRDefault="00BB509C" w:rsidP="00BB509C">
            <w:pPr>
              <w:pStyle w:val="ListParagraph"/>
              <w:numPr>
                <w:ilvl w:val="0"/>
                <w:numId w:val="21"/>
              </w:numPr>
              <w:spacing w:before="0" w:after="0"/>
              <w:ind w:left="144" w:hanging="144"/>
            </w:pPr>
            <w:r>
              <w:t>Energy provider emission factor</w:t>
            </w:r>
          </w:p>
        </w:tc>
      </w:tr>
      <w:tr w:rsidR="00BB509C" w14:paraId="6015BB9C" w14:textId="77777777" w:rsidTr="00BB509C">
        <w:trPr>
          <w:cantSplit/>
        </w:trPr>
        <w:tc>
          <w:tcPr>
            <w:tcW w:w="2515" w:type="dxa"/>
          </w:tcPr>
          <w:p w14:paraId="11B6F6C3" w14:textId="366CF55A" w:rsidR="00BB509C" w:rsidRDefault="00BB509C" w:rsidP="00BB509C">
            <w:pPr>
              <w:contextualSpacing/>
            </w:pPr>
            <w:r>
              <w:t>Agriculture</w:t>
            </w:r>
          </w:p>
        </w:tc>
        <w:tc>
          <w:tcPr>
            <w:tcW w:w="3718" w:type="dxa"/>
          </w:tcPr>
          <w:p w14:paraId="33254B97" w14:textId="6F3ECEA2" w:rsidR="00BB509C" w:rsidRDefault="00BB509C" w:rsidP="00BB509C">
            <w:pPr>
              <w:pStyle w:val="ListParagraph"/>
              <w:numPr>
                <w:ilvl w:val="0"/>
                <w:numId w:val="21"/>
              </w:numPr>
              <w:spacing w:before="0" w:after="0"/>
              <w:ind w:left="144" w:hanging="144"/>
            </w:pPr>
            <w:r>
              <w:t xml:space="preserve">Acres of cropland and number of livestock </w:t>
            </w:r>
            <w:sdt>
              <w:sdtPr>
                <w:id w:val="493621371"/>
                <w:citation/>
              </w:sdtPr>
              <w:sdtContent>
                <w:r>
                  <w:fldChar w:fldCharType="begin"/>
                </w:r>
                <w:r>
                  <w:instrText xml:space="preserve"> CITATION USD14 \l 1033 </w:instrText>
                </w:r>
                <w:r>
                  <w:fldChar w:fldCharType="separate"/>
                </w:r>
                <w:r>
                  <w:rPr>
                    <w:noProof/>
                  </w:rPr>
                  <w:t>(U.S. Department of Agriculture, 2014)</w:t>
                </w:r>
                <w:r>
                  <w:fldChar w:fldCharType="end"/>
                </w:r>
              </w:sdtContent>
            </w:sdt>
          </w:p>
        </w:tc>
        <w:tc>
          <w:tcPr>
            <w:tcW w:w="3117" w:type="dxa"/>
          </w:tcPr>
          <w:p w14:paraId="38D1B4E6" w14:textId="207AABAA" w:rsidR="00BB509C" w:rsidRDefault="00BB509C" w:rsidP="00BB509C">
            <w:pPr>
              <w:pStyle w:val="ListParagraph"/>
              <w:numPr>
                <w:ilvl w:val="0"/>
                <w:numId w:val="21"/>
              </w:numPr>
              <w:spacing w:before="0" w:after="0"/>
              <w:ind w:left="144" w:hanging="144"/>
            </w:pPr>
            <w:r>
              <w:t xml:space="preserve">Emissions per animal or per acre </w:t>
            </w:r>
            <w:sdt>
              <w:sdtPr>
                <w:id w:val="-440079742"/>
                <w:citation/>
              </w:sdtPr>
              <w:sdtContent>
                <w:r>
                  <w:fldChar w:fldCharType="begin"/>
                </w:r>
                <w:r>
                  <w:instrText xml:space="preserve">CITATION USE17 \l 1033 </w:instrText>
                </w:r>
                <w:r>
                  <w:fldChar w:fldCharType="separate"/>
                </w:r>
                <w:r>
                  <w:rPr>
                    <w:noProof/>
                  </w:rPr>
                  <w:t>(U.S. Environmental Protection Agency, 2015)</w:t>
                </w:r>
                <w:r>
                  <w:fldChar w:fldCharType="end"/>
                </w:r>
              </w:sdtContent>
            </w:sdt>
          </w:p>
        </w:tc>
      </w:tr>
      <w:tr w:rsidR="00BB509C" w:rsidRPr="00491D8E" w14:paraId="1BB7E30E" w14:textId="77777777" w:rsidTr="00BB509C">
        <w:trPr>
          <w:cantSplit/>
        </w:trPr>
        <w:tc>
          <w:tcPr>
            <w:tcW w:w="2515" w:type="dxa"/>
          </w:tcPr>
          <w:p w14:paraId="780F2773" w14:textId="788E420F" w:rsidR="00BB509C" w:rsidRPr="00CA1D5B" w:rsidRDefault="00BB509C" w:rsidP="00BB509C">
            <w:pPr>
              <w:contextualSpacing/>
            </w:pPr>
            <w:r w:rsidRPr="00CA1D5B">
              <w:t>Land Use Change</w:t>
            </w:r>
          </w:p>
        </w:tc>
        <w:tc>
          <w:tcPr>
            <w:tcW w:w="3718" w:type="dxa"/>
          </w:tcPr>
          <w:p w14:paraId="78695239" w14:textId="2F67EC4D" w:rsidR="00BB509C" w:rsidRPr="00CA1D5B" w:rsidRDefault="00BB509C" w:rsidP="00BB509C">
            <w:pPr>
              <w:pStyle w:val="ListParagraph"/>
              <w:numPr>
                <w:ilvl w:val="0"/>
                <w:numId w:val="21"/>
              </w:numPr>
              <w:spacing w:before="0" w:after="0"/>
              <w:ind w:left="144" w:hanging="144"/>
            </w:pPr>
            <w:r w:rsidRPr="00CA1D5B">
              <w:t>Acres of land cleared for development</w:t>
            </w:r>
            <w:r>
              <w:t xml:space="preserve"> (</w:t>
            </w:r>
            <w:r w:rsidRPr="00CA1D5B">
              <w:t>King County Assessor’s database</w:t>
            </w:r>
            <w:r>
              <w:t>)</w:t>
            </w:r>
          </w:p>
        </w:tc>
        <w:tc>
          <w:tcPr>
            <w:tcW w:w="3117" w:type="dxa"/>
          </w:tcPr>
          <w:p w14:paraId="7B8440D3" w14:textId="66466C28" w:rsidR="00BB509C" w:rsidRPr="00CA1D5B" w:rsidRDefault="00BB509C" w:rsidP="00BB509C">
            <w:pPr>
              <w:pStyle w:val="ListParagraph"/>
              <w:numPr>
                <w:ilvl w:val="0"/>
                <w:numId w:val="21"/>
              </w:numPr>
              <w:spacing w:before="0" w:after="0"/>
              <w:ind w:left="144" w:hanging="144"/>
            </w:pPr>
            <w:r w:rsidRPr="00CA1D5B">
              <w:t>Average carbon stocks in King County as assessed by the University of Washington</w:t>
            </w:r>
          </w:p>
        </w:tc>
      </w:tr>
    </w:tbl>
    <w:p w14:paraId="437EE33E" w14:textId="7C8B9FF5" w:rsidR="0049222B" w:rsidRDefault="0049222B" w:rsidP="0090295D">
      <w:pPr>
        <w:pStyle w:val="Heading3"/>
      </w:pPr>
      <w:r>
        <w:t>Transportation</w:t>
      </w:r>
    </w:p>
    <w:p w14:paraId="6B8198A1" w14:textId="20A4AACD" w:rsidR="00AB5F4D" w:rsidRDefault="00012777" w:rsidP="00D93B53">
      <w:pPr>
        <w:pStyle w:val="ListParagraph"/>
        <w:numPr>
          <w:ilvl w:val="0"/>
          <w:numId w:val="25"/>
        </w:numPr>
      </w:pPr>
      <w:r w:rsidRPr="00D93B53">
        <w:rPr>
          <w:b/>
        </w:rPr>
        <w:t>Vehicle miles traveled (VMT)</w:t>
      </w:r>
      <w:r>
        <w:t xml:space="preserve"> were derived from </w:t>
      </w:r>
      <w:r w:rsidR="00170553">
        <w:t xml:space="preserve">Puget Sound Regional Council and </w:t>
      </w:r>
      <w:r>
        <w:t>accounted for</w:t>
      </w:r>
      <w:r w:rsidR="00BC2BEE">
        <w:t xml:space="preserve"> all mileage within the county boundary</w:t>
      </w:r>
      <w:r>
        <w:t xml:space="preserve"> regardless</w:t>
      </w:r>
      <w:r w:rsidR="00BC2BEE">
        <w:t xml:space="preserve"> of trip origin or destination. The </w:t>
      </w:r>
      <w:r w:rsidR="00C235A0">
        <w:t xml:space="preserve">PSRC then used emission factors derived originally from </w:t>
      </w:r>
      <w:r w:rsidR="00BC2BEE">
        <w:t xml:space="preserve">the EPA </w:t>
      </w:r>
      <w:r w:rsidR="00C235A0">
        <w:t xml:space="preserve">MOVES </w:t>
      </w:r>
      <w:r w:rsidR="00BC2BEE">
        <w:t xml:space="preserve">model </w:t>
      </w:r>
      <w:r w:rsidR="00C235A0">
        <w:t xml:space="preserve">and modified </w:t>
      </w:r>
      <w:r w:rsidR="00BC2BEE">
        <w:t xml:space="preserve">those factors </w:t>
      </w:r>
      <w:r w:rsidR="00C235A0">
        <w:t xml:space="preserve">to reflect </w:t>
      </w:r>
      <w:r w:rsidR="00BC2BEE">
        <w:t xml:space="preserve">regional </w:t>
      </w:r>
      <w:r w:rsidR="00C235A0">
        <w:t xml:space="preserve">vehicle fleet age and fuel composition.  The PSRC data reported overall emissions for passenger vehicles (cars, motorcycles, light trucks), medium trucks, and heavy trucks. </w:t>
      </w:r>
    </w:p>
    <w:p w14:paraId="10C59500" w14:textId="5088AC11" w:rsidR="00AB5F4D" w:rsidRDefault="00012777" w:rsidP="00AB5F4D">
      <w:pPr>
        <w:pStyle w:val="ListParagraph"/>
        <w:numPr>
          <w:ilvl w:val="0"/>
          <w:numId w:val="25"/>
        </w:numPr>
      </w:pPr>
      <w:r>
        <w:t xml:space="preserve">We acquired </w:t>
      </w:r>
      <w:r w:rsidRPr="00D93B53">
        <w:rPr>
          <w:b/>
        </w:rPr>
        <w:t>fuel consumption</w:t>
      </w:r>
      <w:r>
        <w:t xml:space="preserve"> data </w:t>
      </w:r>
      <w:r w:rsidR="00C235A0">
        <w:t>for</w:t>
      </w:r>
      <w:r w:rsidR="007F4430">
        <w:t xml:space="preserve"> Metro (</w:t>
      </w:r>
      <w:r>
        <w:t>King C</w:t>
      </w:r>
      <w:r w:rsidR="007F4430">
        <w:t>ounty’s bus transit service)</w:t>
      </w:r>
      <w:r>
        <w:t xml:space="preserve"> </w:t>
      </w:r>
      <w:r w:rsidR="007F4430">
        <w:t xml:space="preserve">and </w:t>
      </w:r>
      <w:r>
        <w:t>Sound T</w:t>
      </w:r>
      <w:r w:rsidR="007F4430">
        <w:t>ransit (</w:t>
      </w:r>
      <w:r>
        <w:t>a regional transit service that serves King County</w:t>
      </w:r>
      <w:r w:rsidR="007F4430">
        <w:t>)</w:t>
      </w:r>
      <w:r w:rsidR="00124C92">
        <w:t xml:space="preserve"> </w:t>
      </w:r>
      <w:r w:rsidR="00C235A0">
        <w:t>from</w:t>
      </w:r>
      <w:r w:rsidR="00124C92">
        <w:t xml:space="preserve"> the National Transit Database from the Federal Transit Administration</w:t>
      </w:r>
      <w:r>
        <w:t>.</w:t>
      </w:r>
      <w:r w:rsidR="00E90D69">
        <w:t xml:space="preserve"> </w:t>
      </w:r>
    </w:p>
    <w:p w14:paraId="474E9B99" w14:textId="0AED88CC" w:rsidR="00E10FB5" w:rsidRDefault="00E10FB5" w:rsidP="00AB5F4D">
      <w:pPr>
        <w:pStyle w:val="ListParagraph"/>
        <w:numPr>
          <w:ilvl w:val="0"/>
          <w:numId w:val="25"/>
        </w:numPr>
      </w:pPr>
      <w:r>
        <w:t xml:space="preserve">We obtained </w:t>
      </w:r>
      <w:r w:rsidRPr="00E10FB5">
        <w:rPr>
          <w:b/>
        </w:rPr>
        <w:t>jet and aviation fuel data</w:t>
      </w:r>
      <w:r>
        <w:t xml:space="preserve"> for Boeing Field from King County and for SeaTac airport from the Port of Seattle. </w:t>
      </w:r>
    </w:p>
    <w:p w14:paraId="70CD941F" w14:textId="1AA72BF9" w:rsidR="00AB5F4D" w:rsidRDefault="00012777" w:rsidP="00AB5F4D">
      <w:pPr>
        <w:pStyle w:val="ListParagraph"/>
        <w:numPr>
          <w:ilvl w:val="0"/>
          <w:numId w:val="25"/>
        </w:numPr>
      </w:pPr>
      <w:r w:rsidRPr="00D93B53">
        <w:rPr>
          <w:b/>
        </w:rPr>
        <w:t xml:space="preserve">Ferry </w:t>
      </w:r>
      <w:r>
        <w:t xml:space="preserve">fuel data is reported annually by WSDOT for each ferry route. </w:t>
      </w:r>
      <w:r w:rsidR="00C235A0">
        <w:t>We used the fiscal year that most closely associated with our year of interest.</w:t>
      </w:r>
    </w:p>
    <w:p w14:paraId="296F293E" w14:textId="65452C8C" w:rsidR="00AB5F4D" w:rsidRDefault="00012777" w:rsidP="00AB5F4D">
      <w:pPr>
        <w:pStyle w:val="ListParagraph"/>
        <w:numPr>
          <w:ilvl w:val="0"/>
          <w:numId w:val="25"/>
        </w:numPr>
      </w:pPr>
      <w:r>
        <w:t xml:space="preserve">The Puget Sound Clean Air Agency published a 2011 report on maritime air emissions, which we used to enumerate 2015 </w:t>
      </w:r>
      <w:r w:rsidRPr="00D93B53">
        <w:rPr>
          <w:b/>
        </w:rPr>
        <w:t>freight rail and port</w:t>
      </w:r>
      <w:r>
        <w:t xml:space="preserve"> emissions. </w:t>
      </w:r>
      <w:r w:rsidR="00AB5F4D">
        <w:t>This report is currently being updated to reflect more recent emissions. We recommend that King County update it</w:t>
      </w:r>
      <w:r w:rsidR="00D93B53">
        <w:t>s inventory values when that report is available.</w:t>
      </w:r>
    </w:p>
    <w:p w14:paraId="1848DD64" w14:textId="4025AF00" w:rsidR="00D93B53" w:rsidRDefault="00012777" w:rsidP="00AB5F4D">
      <w:pPr>
        <w:pStyle w:val="ListParagraph"/>
        <w:numPr>
          <w:ilvl w:val="0"/>
          <w:numId w:val="25"/>
        </w:numPr>
      </w:pPr>
      <w:r>
        <w:t xml:space="preserve">Emissions from </w:t>
      </w:r>
      <w:r w:rsidR="0049222B" w:rsidRPr="00D93B53">
        <w:rPr>
          <w:b/>
        </w:rPr>
        <w:t>p</w:t>
      </w:r>
      <w:r w:rsidRPr="00D93B53">
        <w:rPr>
          <w:b/>
        </w:rPr>
        <w:t>leasure boats</w:t>
      </w:r>
      <w:r>
        <w:t xml:space="preserve"> and other small-engine recreational vessels </w:t>
      </w:r>
      <w:r w:rsidR="00C235A0">
        <w:t>were</w:t>
      </w:r>
      <w:r>
        <w:t xml:space="preserve"> obtained through EPA NONROAD modeling of King County. </w:t>
      </w:r>
    </w:p>
    <w:p w14:paraId="16CE4BBE" w14:textId="4F23ACEC" w:rsidR="0049222B" w:rsidRDefault="0049222B" w:rsidP="00EA2B08">
      <w:pPr>
        <w:pStyle w:val="Heading3"/>
      </w:pPr>
      <w:r>
        <w:lastRenderedPageBreak/>
        <w:t>Buildings and Energy</w:t>
      </w:r>
    </w:p>
    <w:p w14:paraId="10B2AFB5" w14:textId="77777777" w:rsidR="00D93B53" w:rsidRDefault="00C51ECC" w:rsidP="00D93B53">
      <w:pPr>
        <w:pStyle w:val="ListParagraph"/>
        <w:numPr>
          <w:ilvl w:val="0"/>
          <w:numId w:val="26"/>
        </w:numPr>
      </w:pPr>
      <w:r>
        <w:t xml:space="preserve">Data on </w:t>
      </w:r>
      <w:r w:rsidRPr="00D93B53">
        <w:rPr>
          <w:b/>
        </w:rPr>
        <w:t>electricity</w:t>
      </w:r>
      <w:r>
        <w:t xml:space="preserve"> and </w:t>
      </w:r>
      <w:r w:rsidRPr="00D93B53">
        <w:rPr>
          <w:b/>
        </w:rPr>
        <w:t xml:space="preserve">natural gas </w:t>
      </w:r>
      <w:r>
        <w:t>use were provided by the two King County utilities: SCL and PSE.</w:t>
      </w:r>
      <w:r w:rsidR="003722AE">
        <w:t xml:space="preserve"> </w:t>
      </w:r>
    </w:p>
    <w:p w14:paraId="783E703E" w14:textId="77777777" w:rsidR="00D93B53" w:rsidRDefault="00C51ECC" w:rsidP="00D93B53">
      <w:pPr>
        <w:pStyle w:val="ListParagraph"/>
        <w:numPr>
          <w:ilvl w:val="0"/>
          <w:numId w:val="26"/>
        </w:numPr>
      </w:pPr>
      <w:r w:rsidRPr="00D93B53">
        <w:rPr>
          <w:b/>
        </w:rPr>
        <w:t>Residential heating fuel</w:t>
      </w:r>
      <w:r>
        <w:t xml:space="preserve"> consisted of natural gas, of which the data were provided by PSE, and heating oil</w:t>
      </w:r>
      <w:r w:rsidR="00110790">
        <w:t>, provided by EIA.</w:t>
      </w:r>
      <w:r w:rsidR="003722AE">
        <w:t xml:space="preserve"> </w:t>
      </w:r>
    </w:p>
    <w:p w14:paraId="1E730520" w14:textId="4B844873" w:rsidR="00D93B53" w:rsidRDefault="00C51ECC" w:rsidP="00D93B53">
      <w:pPr>
        <w:pStyle w:val="ListParagraph"/>
        <w:numPr>
          <w:ilvl w:val="0"/>
          <w:numId w:val="26"/>
        </w:numPr>
      </w:pPr>
      <w:r>
        <w:t>Other residential emissions were calculated from the</w:t>
      </w:r>
      <w:r w:rsidR="00110790">
        <w:t xml:space="preserve"> EPA</w:t>
      </w:r>
      <w:r>
        <w:t xml:space="preserve"> NONROAD</w:t>
      </w:r>
      <w:r w:rsidR="00110790">
        <w:t xml:space="preserve"> 2008</w:t>
      </w:r>
      <w:r>
        <w:t xml:space="preserve"> model output.</w:t>
      </w:r>
      <w:r w:rsidR="003722AE">
        <w:t xml:space="preserve"> </w:t>
      </w:r>
      <w:r w:rsidR="00C235A0">
        <w:t xml:space="preserve">Emissions include common non-road equipment, often for gardening and landscaping purposes, such as lawnmowers. </w:t>
      </w:r>
      <w:r w:rsidR="00C235A0">
        <w:rPr>
          <w:rStyle w:val="CommentReference"/>
        </w:rPr>
        <w:t xml:space="preserve"> </w:t>
      </w:r>
      <w:r w:rsidR="00C235A0">
        <w:t xml:space="preserve"> </w:t>
      </w:r>
    </w:p>
    <w:p w14:paraId="354FCA15" w14:textId="0ABC8011" w:rsidR="00D93B53" w:rsidRDefault="00C51ECC" w:rsidP="00D93B53">
      <w:pPr>
        <w:pStyle w:val="ListParagraph"/>
        <w:numPr>
          <w:ilvl w:val="0"/>
          <w:numId w:val="26"/>
        </w:numPr>
      </w:pPr>
      <w:r w:rsidRPr="00D93B53">
        <w:rPr>
          <w:b/>
        </w:rPr>
        <w:t>Commercial heating</w:t>
      </w:r>
      <w:r>
        <w:t xml:space="preserve"> is provided through natural gas</w:t>
      </w:r>
      <w:r w:rsidR="00C235A0">
        <w:t>,</w:t>
      </w:r>
      <w:r>
        <w:t xml:space="preserve"> and steam from </w:t>
      </w:r>
      <w:proofErr w:type="spellStart"/>
      <w:r>
        <w:t>Enwave</w:t>
      </w:r>
      <w:proofErr w:type="spellEnd"/>
      <w:r>
        <w:t>, a Seattle steam company that heats approximately 200 commercial downtown buildings.</w:t>
      </w:r>
      <w:r w:rsidR="003722AE">
        <w:t xml:space="preserve"> </w:t>
      </w:r>
      <w:proofErr w:type="spellStart"/>
      <w:r>
        <w:t>Enwave</w:t>
      </w:r>
      <w:proofErr w:type="spellEnd"/>
      <w:r>
        <w:t xml:space="preserve"> provides </w:t>
      </w:r>
      <w:r w:rsidR="00C235A0">
        <w:t>emission</w:t>
      </w:r>
      <w:r w:rsidR="00F95C1F">
        <w:t>s</w:t>
      </w:r>
      <w:r w:rsidR="00C235A0">
        <w:t xml:space="preserve"> data</w:t>
      </w:r>
      <w:r>
        <w:t xml:space="preserve"> to the </w:t>
      </w:r>
      <w:r w:rsidR="00C235A0">
        <w:t>PSCAA</w:t>
      </w:r>
      <w:r>
        <w:t xml:space="preserve">. </w:t>
      </w:r>
    </w:p>
    <w:p w14:paraId="3A1ECAC0" w14:textId="516E34BD" w:rsidR="00D93B53" w:rsidRDefault="00012777" w:rsidP="00D93B53">
      <w:pPr>
        <w:pStyle w:val="ListParagraph"/>
        <w:numPr>
          <w:ilvl w:val="0"/>
          <w:numId w:val="26"/>
        </w:numPr>
      </w:pPr>
      <w:r>
        <w:t xml:space="preserve">Additional commercial </w:t>
      </w:r>
      <w:r w:rsidR="00C235A0">
        <w:t xml:space="preserve">non-road </w:t>
      </w:r>
      <w:r>
        <w:t>sources were calculated with the EPA NONROAD 2008 model.</w:t>
      </w:r>
      <w:r w:rsidR="00C235A0">
        <w:t xml:space="preserve"> These nonroad sources </w:t>
      </w:r>
      <w:r w:rsidR="003028E1">
        <w:t xml:space="preserve">include </w:t>
      </w:r>
      <w:r w:rsidR="00C235A0">
        <w:t>fuel used for commercial landscaping and non-flight equipment at airports.</w:t>
      </w:r>
    </w:p>
    <w:p w14:paraId="42A53656" w14:textId="1AF5D993" w:rsidR="00D93B53" w:rsidRDefault="0020184C" w:rsidP="00D93B53">
      <w:pPr>
        <w:pStyle w:val="ListParagraph"/>
        <w:numPr>
          <w:ilvl w:val="0"/>
          <w:numId w:val="26"/>
        </w:numPr>
      </w:pPr>
      <w:r>
        <w:rPr>
          <w:b/>
        </w:rPr>
        <w:t>I</w:t>
      </w:r>
      <w:r w:rsidR="00C51ECC" w:rsidRPr="00D93B53">
        <w:rPr>
          <w:b/>
        </w:rPr>
        <w:t>ndustrial process</w:t>
      </w:r>
      <w:r w:rsidR="00C51ECC">
        <w:t xml:space="preserve"> emissions </w:t>
      </w:r>
      <w:r w:rsidR="00012777">
        <w:t xml:space="preserve">are recorded by the PSCAA, which provided data on large sources of emissions from industry. </w:t>
      </w:r>
    </w:p>
    <w:p w14:paraId="25604A33" w14:textId="1A9CD770" w:rsidR="0020184C" w:rsidRDefault="0020184C" w:rsidP="00D93B53">
      <w:pPr>
        <w:pStyle w:val="ListParagraph"/>
        <w:numPr>
          <w:ilvl w:val="0"/>
          <w:numId w:val="26"/>
        </w:numPr>
      </w:pPr>
      <w:r>
        <w:t xml:space="preserve">Data on </w:t>
      </w:r>
      <w:r w:rsidR="0070343A">
        <w:rPr>
          <w:b/>
        </w:rPr>
        <w:t>f</w:t>
      </w:r>
      <w:r>
        <w:rPr>
          <w:b/>
        </w:rPr>
        <w:t xml:space="preserve">ugitive refrigerant </w:t>
      </w:r>
      <w:r>
        <w:t>emissions at regional scales is scarce. A nationally reported number by the EPA was used to scale to King County.</w:t>
      </w:r>
    </w:p>
    <w:p w14:paraId="254CEBA7" w14:textId="1F82FEE0" w:rsidR="00D93B53" w:rsidRDefault="00012777" w:rsidP="00D93B53">
      <w:pPr>
        <w:pStyle w:val="ListParagraph"/>
        <w:numPr>
          <w:ilvl w:val="0"/>
          <w:numId w:val="26"/>
        </w:numPr>
      </w:pPr>
      <w:r>
        <w:t xml:space="preserve">PSE provided data on </w:t>
      </w:r>
      <w:r w:rsidRPr="00D93B53">
        <w:rPr>
          <w:b/>
        </w:rPr>
        <w:t>natural gas consumption</w:t>
      </w:r>
      <w:r>
        <w:t>, and the EIA provided data on</w:t>
      </w:r>
      <w:r w:rsidRPr="00D93B53">
        <w:rPr>
          <w:b/>
        </w:rPr>
        <w:t xml:space="preserve"> industrial oil</w:t>
      </w:r>
      <w:r>
        <w:t xml:space="preserve">. We obtained emission </w:t>
      </w:r>
      <w:r w:rsidR="00913484">
        <w:t>factors for fuels from the EPA</w:t>
      </w:r>
      <w:r w:rsidR="0070343A">
        <w:t xml:space="preserve"> </w:t>
      </w:r>
      <w:sdt>
        <w:sdtPr>
          <w:id w:val="-1612816823"/>
          <w:citation/>
        </w:sdtPr>
        <w:sdtContent>
          <w:r w:rsidR="0070343A">
            <w:fldChar w:fldCharType="begin"/>
          </w:r>
          <w:r w:rsidR="006F1D68">
            <w:instrText xml:space="preserve">CITATION USE17 \l 1033 </w:instrText>
          </w:r>
          <w:r w:rsidR="0070343A">
            <w:fldChar w:fldCharType="separate"/>
          </w:r>
          <w:r w:rsidR="006F1D68">
            <w:rPr>
              <w:noProof/>
            </w:rPr>
            <w:t>(U.S. Environmental Protection Agency, 2015)</w:t>
          </w:r>
          <w:r w:rsidR="0070343A">
            <w:fldChar w:fldCharType="end"/>
          </w:r>
        </w:sdtContent>
      </w:sdt>
      <w:r w:rsidR="00913484">
        <w:t xml:space="preserve">. </w:t>
      </w:r>
    </w:p>
    <w:p w14:paraId="7C4DAF66" w14:textId="07D35068" w:rsidR="00C03781" w:rsidRDefault="00913484" w:rsidP="00D93B53">
      <w:pPr>
        <w:pStyle w:val="ListParagraph"/>
        <w:numPr>
          <w:ilvl w:val="0"/>
          <w:numId w:val="26"/>
        </w:numPr>
      </w:pPr>
      <w:r>
        <w:t>We calculated an emissions</w:t>
      </w:r>
      <w:r w:rsidR="003722AE">
        <w:t xml:space="preserve"> </w:t>
      </w:r>
      <w:r>
        <w:t xml:space="preserve">factor for PSE using the fuel mix reported in the annual Fuel Mix Disclosure reporting conducted by the </w:t>
      </w:r>
      <w:r w:rsidR="0049222B">
        <w:t>Washington</w:t>
      </w:r>
      <w:r>
        <w:t xml:space="preserve"> State Department of Commerce. SCL reports an emissions factor through The Climate Registry (TCR), which we used for all years except 2003, which predated TCR.</w:t>
      </w:r>
      <w:r w:rsidR="009C1776">
        <w:t xml:space="preserve"> For a 2003 SCL emissions factor, we used the fuel mix report</w:t>
      </w:r>
      <w:r w:rsidR="0070343A">
        <w:t xml:space="preserve"> </w:t>
      </w:r>
      <w:sdt>
        <w:sdtPr>
          <w:id w:val="-2130847544"/>
          <w:citation/>
        </w:sdtPr>
        <w:sdtContent>
          <w:r w:rsidR="0070343A">
            <w:fldChar w:fldCharType="begin"/>
          </w:r>
          <w:r w:rsidR="0070343A">
            <w:instrText xml:space="preserve"> CITATION Was15 \l 1033 </w:instrText>
          </w:r>
          <w:r w:rsidR="0070343A">
            <w:fldChar w:fldCharType="separate"/>
          </w:r>
          <w:r w:rsidR="0070343A">
            <w:rPr>
              <w:noProof/>
            </w:rPr>
            <w:t>(Washington State Department of Commerce, 2015)</w:t>
          </w:r>
          <w:r w:rsidR="0070343A">
            <w:fldChar w:fldCharType="end"/>
          </w:r>
        </w:sdtContent>
      </w:sdt>
      <w:r w:rsidR="009C1776">
        <w:t>.</w:t>
      </w:r>
    </w:p>
    <w:p w14:paraId="0350C7E4" w14:textId="6E55E2FE" w:rsidR="0049222B" w:rsidRDefault="0049222B" w:rsidP="00EA2B08">
      <w:pPr>
        <w:pStyle w:val="Heading3"/>
      </w:pPr>
      <w:commentRangeStart w:id="43"/>
      <w:r>
        <w:t>Solid Waste</w:t>
      </w:r>
    </w:p>
    <w:p w14:paraId="4CB5A965" w14:textId="74CE299E" w:rsidR="0049222B" w:rsidRDefault="00913484" w:rsidP="005015F6">
      <w:pPr>
        <w:pStyle w:val="ListParagraph"/>
        <w:numPr>
          <w:ilvl w:val="0"/>
          <w:numId w:val="27"/>
        </w:numPr>
      </w:pPr>
      <w:r>
        <w:t xml:space="preserve">We used </w:t>
      </w:r>
      <w:r w:rsidR="00ED6511">
        <w:t xml:space="preserve">King County </w:t>
      </w:r>
      <w:r>
        <w:t xml:space="preserve">waste composition data, along with emissions factors from the EPA WARM </w:t>
      </w:r>
      <w:r w:rsidR="00EA1871">
        <w:t xml:space="preserve">v14 </w:t>
      </w:r>
      <w:r>
        <w:t xml:space="preserve">model, to calculate emissions from </w:t>
      </w:r>
      <w:r w:rsidRPr="005015F6">
        <w:rPr>
          <w:b/>
        </w:rPr>
        <w:t>waste disposal</w:t>
      </w:r>
      <w:r w:rsidR="005416C8" w:rsidRPr="005015F6">
        <w:rPr>
          <w:b/>
        </w:rPr>
        <w:t xml:space="preserve"> and composting</w:t>
      </w:r>
      <w:r>
        <w:t xml:space="preserve">. </w:t>
      </w:r>
      <w:r w:rsidR="00BB509C">
        <w:t xml:space="preserve">Landfill emissions assumed 90% and 75% landfill gas capture rates for King County and Seattle waste, respectively. </w:t>
      </w:r>
    </w:p>
    <w:p w14:paraId="26FE8836" w14:textId="7FB483BA" w:rsidR="0049222B" w:rsidRDefault="0049222B" w:rsidP="00EA2B08">
      <w:pPr>
        <w:pStyle w:val="Heading3"/>
      </w:pPr>
      <w:r>
        <w:t>Wastewater</w:t>
      </w:r>
    </w:p>
    <w:p w14:paraId="478F413E" w14:textId="492DC8C3" w:rsidR="0049222B" w:rsidRDefault="00FF7F45" w:rsidP="005015F6">
      <w:pPr>
        <w:pStyle w:val="ListParagraph"/>
        <w:numPr>
          <w:ilvl w:val="0"/>
          <w:numId w:val="28"/>
        </w:numPr>
      </w:pPr>
      <w:r>
        <w:t xml:space="preserve">Wastewater emission calculations required data from King County </w:t>
      </w:r>
      <w:r w:rsidRPr="005015F6">
        <w:rPr>
          <w:b/>
        </w:rPr>
        <w:t>wastewater treatment plants</w:t>
      </w:r>
      <w:r>
        <w:t xml:space="preserve">, </w:t>
      </w:r>
      <w:r w:rsidR="005416C8">
        <w:t>provided by</w:t>
      </w:r>
      <w:r>
        <w:t xml:space="preserve"> </w:t>
      </w:r>
      <w:r w:rsidR="00110790">
        <w:t>facility engineers</w:t>
      </w:r>
      <w:r>
        <w:t xml:space="preserve"> and publicly available documents.</w:t>
      </w:r>
      <w:r w:rsidR="003722AE">
        <w:t xml:space="preserve"> </w:t>
      </w:r>
      <w:commentRangeEnd w:id="43"/>
      <w:r w:rsidR="00D755D4">
        <w:rPr>
          <w:rStyle w:val="CommentReference"/>
        </w:rPr>
        <w:commentReference w:id="43"/>
      </w:r>
    </w:p>
    <w:p w14:paraId="3AF1ADB7" w14:textId="465E0873" w:rsidR="0049222B" w:rsidRDefault="0049222B" w:rsidP="00EA2B08">
      <w:pPr>
        <w:pStyle w:val="Heading3"/>
      </w:pPr>
      <w:r>
        <w:t>Potable Water</w:t>
      </w:r>
    </w:p>
    <w:p w14:paraId="3D9B43C2" w14:textId="7232DB9F" w:rsidR="0049222B" w:rsidRDefault="00FF7F45" w:rsidP="005015F6">
      <w:pPr>
        <w:pStyle w:val="ListParagraph"/>
        <w:numPr>
          <w:ilvl w:val="0"/>
          <w:numId w:val="28"/>
        </w:numPr>
      </w:pPr>
      <w:r w:rsidRPr="005015F6">
        <w:rPr>
          <w:b/>
        </w:rPr>
        <w:t>Potable water emissions</w:t>
      </w:r>
      <w:r>
        <w:t xml:space="preserve"> required data on water use, publicly available from Seattle Public Utilities, and energy use estimates</w:t>
      </w:r>
      <w:r w:rsidR="00913484">
        <w:t xml:space="preserve"> provided </w:t>
      </w:r>
      <w:r w:rsidR="005416C8">
        <w:t>by</w:t>
      </w:r>
      <w:r w:rsidR="00913484">
        <w:t xml:space="preserve"> the </w:t>
      </w:r>
      <w:r w:rsidR="0049222B">
        <w:t xml:space="preserve">U.S. </w:t>
      </w:r>
      <w:r w:rsidR="00913484">
        <w:t>Community Protocol</w:t>
      </w:r>
      <w:r>
        <w:t>.</w:t>
      </w:r>
      <w:r w:rsidR="003722AE">
        <w:t xml:space="preserve"> </w:t>
      </w:r>
    </w:p>
    <w:p w14:paraId="1734C6D1" w14:textId="2385DFC1" w:rsidR="0049222B" w:rsidRDefault="0049222B" w:rsidP="00EA2B08">
      <w:pPr>
        <w:pStyle w:val="Heading3"/>
      </w:pPr>
      <w:r>
        <w:lastRenderedPageBreak/>
        <w:t>Agriculture</w:t>
      </w:r>
    </w:p>
    <w:p w14:paraId="342AA847" w14:textId="6072FC0F" w:rsidR="0049222B" w:rsidRDefault="00913484" w:rsidP="005015F6">
      <w:pPr>
        <w:pStyle w:val="ListParagraph"/>
        <w:numPr>
          <w:ilvl w:val="0"/>
          <w:numId w:val="28"/>
        </w:numPr>
      </w:pPr>
      <w:r>
        <w:t xml:space="preserve">The USDA provides </w:t>
      </w:r>
      <w:r w:rsidR="00FF7F45">
        <w:t xml:space="preserve">publicly available </w:t>
      </w:r>
      <w:r>
        <w:t>data on the number of animals by county</w:t>
      </w:r>
      <w:r w:rsidR="00FF7F45">
        <w:t>.</w:t>
      </w:r>
      <w:r w:rsidR="00295DD1">
        <w:t xml:space="preserve"> The EPA provides national-level </w:t>
      </w:r>
      <w:r w:rsidR="00295DD1" w:rsidRPr="005015F6">
        <w:rPr>
          <w:b/>
        </w:rPr>
        <w:t>animal enteric and manure</w:t>
      </w:r>
      <w:r w:rsidR="00295DD1">
        <w:t xml:space="preserve"> emission factors, and state-level emissions factors for cattle.</w:t>
      </w:r>
      <w:r w:rsidR="00E90D69">
        <w:t xml:space="preserve"> </w:t>
      </w:r>
    </w:p>
    <w:p w14:paraId="32463B24" w14:textId="1BF6C985" w:rsidR="0049222B" w:rsidRDefault="0049222B" w:rsidP="00EA2B08">
      <w:pPr>
        <w:pStyle w:val="Heading3"/>
      </w:pPr>
      <w:r>
        <w:t>Land Use</w:t>
      </w:r>
    </w:p>
    <w:p w14:paraId="4D24BD39" w14:textId="0684CF42" w:rsidR="00C51ECC" w:rsidRDefault="00295DD1" w:rsidP="005015F6">
      <w:pPr>
        <w:pStyle w:val="ListParagraph"/>
        <w:numPr>
          <w:ilvl w:val="0"/>
          <w:numId w:val="28"/>
        </w:numPr>
      </w:pPr>
      <w:r>
        <w:t xml:space="preserve">The King County Assessor’s office publicly provides land use data for King County, which we used to </w:t>
      </w:r>
      <w:r w:rsidR="006E518F">
        <w:t>calculate</w:t>
      </w:r>
      <w:r>
        <w:t xml:space="preserve"> the </w:t>
      </w:r>
      <w:r w:rsidR="005015F6">
        <w:t>emissions associated with</w:t>
      </w:r>
      <w:r>
        <w:t xml:space="preserve"> </w:t>
      </w:r>
      <w:r w:rsidRPr="00F75758">
        <w:rPr>
          <w:b/>
        </w:rPr>
        <w:t xml:space="preserve">new </w:t>
      </w:r>
      <w:r w:rsidR="00F75758" w:rsidRPr="00F75758">
        <w:rPr>
          <w:b/>
        </w:rPr>
        <w:t>development</w:t>
      </w:r>
      <w:r>
        <w:t xml:space="preserve"> in 2015.</w:t>
      </w:r>
    </w:p>
    <w:p w14:paraId="50C6FCC5" w14:textId="39BA4452" w:rsidR="00491D8E" w:rsidRPr="00A524B9" w:rsidRDefault="00491D8E" w:rsidP="00491D8E">
      <w:pPr>
        <w:pStyle w:val="Heading2"/>
      </w:pPr>
      <w:bookmarkStart w:id="44" w:name="_Toc493104903"/>
      <w:r w:rsidRPr="00A524B9">
        <w:t xml:space="preserve">Key Differences </w:t>
      </w:r>
      <w:r w:rsidR="00AC3548" w:rsidRPr="00A524B9">
        <w:t>between Past and Current Methodologies</w:t>
      </w:r>
      <w:bookmarkEnd w:id="44"/>
    </w:p>
    <w:p w14:paraId="0AF7610A" w14:textId="61B4B09E" w:rsidR="0049222B" w:rsidRPr="00A524B9" w:rsidRDefault="00755EA0" w:rsidP="00CA1E6E">
      <w:r w:rsidRPr="00A524B9">
        <w:t xml:space="preserve">This 2015 inventory update was conducted in adherence </w:t>
      </w:r>
      <w:r w:rsidR="00C8060A" w:rsidRPr="00A524B9">
        <w:t>with</w:t>
      </w:r>
      <w:r w:rsidRPr="00A524B9">
        <w:t xml:space="preserve"> the U.S. Community Protocol</w:t>
      </w:r>
      <w:r w:rsidR="0049222B" w:rsidRPr="00A524B9">
        <w:t>. S</w:t>
      </w:r>
      <w:r w:rsidR="00C00C95" w:rsidRPr="00A524B9">
        <w:t xml:space="preserve">ee </w:t>
      </w:r>
      <w:r w:rsidR="0049222B" w:rsidRPr="00A524B9">
        <w:t xml:space="preserve">the </w:t>
      </w:r>
      <w:r w:rsidR="00C00C95" w:rsidRPr="00A524B9">
        <w:t xml:space="preserve">text box </w:t>
      </w:r>
      <w:r w:rsidR="006E518F">
        <w:t>on the following page</w:t>
      </w:r>
      <w:r w:rsidR="00C00C95" w:rsidRPr="00A524B9">
        <w:t xml:space="preserve"> for more information on this protocol and how it compares to other available protocols</w:t>
      </w:r>
      <w:r w:rsidRPr="00A524B9">
        <w:t xml:space="preserve">. </w:t>
      </w:r>
    </w:p>
    <w:p w14:paraId="694BFE76" w14:textId="6C442F82" w:rsidR="00755EA0" w:rsidRDefault="009E27D2" w:rsidP="00CA1E6E">
      <w:r w:rsidRPr="00A524B9">
        <w:t>Several</w:t>
      </w:r>
      <w:r w:rsidR="00295DD1" w:rsidRPr="00A524B9">
        <w:t xml:space="preserve"> methodological </w:t>
      </w:r>
      <w:r w:rsidRPr="00A524B9">
        <w:t xml:space="preserve">differences </w:t>
      </w:r>
      <w:r w:rsidR="0049222B" w:rsidRPr="00A524B9">
        <w:t xml:space="preserve">between the </w:t>
      </w:r>
      <w:r w:rsidRPr="00A524B9">
        <w:t>current</w:t>
      </w:r>
      <w:r w:rsidR="0049222B" w:rsidRPr="00A524B9">
        <w:t xml:space="preserve"> inventory </w:t>
      </w:r>
      <w:r w:rsidRPr="00A524B9">
        <w:t>a</w:t>
      </w:r>
      <w:r w:rsidR="003028E1">
        <w:t xml:space="preserve">nd previous inventories led to notable </w:t>
      </w:r>
      <w:r w:rsidRPr="00A524B9">
        <w:t xml:space="preserve">changes in </w:t>
      </w:r>
      <w:r w:rsidR="002D41B3" w:rsidRPr="00A524B9">
        <w:t>GHG emissions reported</w:t>
      </w:r>
      <w:r w:rsidR="006E518F">
        <w:t xml:space="preserve"> (see </w:t>
      </w:r>
      <w:r w:rsidR="006E518F">
        <w:fldChar w:fldCharType="begin"/>
      </w:r>
      <w:r w:rsidR="006E518F">
        <w:instrText xml:space="preserve"> REF _Ref483407056 \h </w:instrText>
      </w:r>
      <w:r w:rsidR="006E518F">
        <w:fldChar w:fldCharType="separate"/>
      </w:r>
      <w:r w:rsidR="006E518F" w:rsidRPr="00A524B9">
        <w:t>Table 3</w:t>
      </w:r>
      <w:r w:rsidR="006E518F">
        <w:fldChar w:fldCharType="end"/>
      </w:r>
      <w:r w:rsidR="006E518F">
        <w:t>)</w:t>
      </w:r>
      <w:r w:rsidR="002D41B3" w:rsidRPr="00A524B9">
        <w:t xml:space="preserve">. For example, </w:t>
      </w:r>
      <w:r w:rsidR="0049222B" w:rsidRPr="00A524B9">
        <w:t xml:space="preserve">the </w:t>
      </w:r>
      <w:r w:rsidR="00E526AC" w:rsidRPr="00A524B9">
        <w:t>current</w:t>
      </w:r>
      <w:r w:rsidR="0049222B" w:rsidRPr="00A524B9">
        <w:t xml:space="preserve"> inventory </w:t>
      </w:r>
      <w:r w:rsidR="00E526AC" w:rsidRPr="00A524B9">
        <w:t>includes</w:t>
      </w:r>
      <w:r w:rsidR="00295DD1" w:rsidRPr="00A524B9">
        <w:t xml:space="preserve"> methane</w:t>
      </w:r>
      <w:r w:rsidR="00C00C95" w:rsidRPr="00A524B9">
        <w:t xml:space="preserve"> (CH</w:t>
      </w:r>
      <w:r w:rsidR="00C00C95" w:rsidRPr="00A524B9">
        <w:rPr>
          <w:vertAlign w:val="subscript"/>
        </w:rPr>
        <w:t>4</w:t>
      </w:r>
      <w:r w:rsidR="00C00C95" w:rsidRPr="00A524B9">
        <w:t>)</w:t>
      </w:r>
      <w:r w:rsidR="00295DD1" w:rsidRPr="00A524B9">
        <w:t xml:space="preserve"> and nitrous oxide </w:t>
      </w:r>
      <w:r w:rsidR="00C00C95" w:rsidRPr="00A524B9">
        <w:t>(N</w:t>
      </w:r>
      <w:r w:rsidR="00C00C95" w:rsidRPr="00A524B9">
        <w:rPr>
          <w:vertAlign w:val="subscript"/>
        </w:rPr>
        <w:t>2</w:t>
      </w:r>
      <w:r w:rsidR="00C00C95" w:rsidRPr="00A524B9">
        <w:t xml:space="preserve">O) </w:t>
      </w:r>
      <w:r w:rsidR="00295DD1" w:rsidRPr="00A524B9">
        <w:t>emissions from</w:t>
      </w:r>
      <w:r w:rsidR="00EA2B08" w:rsidRPr="00A524B9">
        <w:t xml:space="preserve"> fuel</w:t>
      </w:r>
      <w:r w:rsidR="00295DD1" w:rsidRPr="00A524B9">
        <w:t xml:space="preserve"> combustion</w:t>
      </w:r>
      <w:r w:rsidR="00EA2B08" w:rsidRPr="00A524B9">
        <w:t>.</w:t>
      </w:r>
      <w:r w:rsidR="00295DD1" w:rsidRPr="00A524B9">
        <w:t xml:space="preserve"> Previously, only emissions from carbon dioxide were included</w:t>
      </w:r>
      <w:r w:rsidR="00F70BEA" w:rsidRPr="00A524B9">
        <w:t xml:space="preserve"> in combustion emission calculations</w:t>
      </w:r>
      <w:r w:rsidR="00295DD1" w:rsidRPr="00A524B9">
        <w:t xml:space="preserve">, with the exceptions of methane emissions from agriculture and waste, and fugitive gases from industry. </w:t>
      </w:r>
      <w:r w:rsidR="00E526AC" w:rsidRPr="00A524B9">
        <w:t xml:space="preserve">The current inventory includes updated PSE and SCL emission factors, which led to </w:t>
      </w:r>
      <w:r w:rsidR="00E10FB5">
        <w:t>noticeably</w:t>
      </w:r>
      <w:r w:rsidR="00E526AC" w:rsidRPr="00A524B9">
        <w:t xml:space="preserve"> different building emissions </w:t>
      </w:r>
      <w:r w:rsidR="00E10FB5">
        <w:t>compared to the previous methodologies.</w:t>
      </w:r>
      <w:r w:rsidR="00E526AC" w:rsidRPr="00A524B9">
        <w:t xml:space="preserve"> </w:t>
      </w:r>
      <w:r w:rsidR="007D79A5" w:rsidRPr="00A524B9">
        <w:t xml:space="preserve">In the past, nonroad </w:t>
      </w:r>
      <w:r w:rsidR="00E10FB5">
        <w:t xml:space="preserve">vehicle </w:t>
      </w:r>
      <w:r w:rsidR="007D79A5" w:rsidRPr="00A524B9">
        <w:t xml:space="preserve">emissions were calculated by multiplying nonroad activity from </w:t>
      </w:r>
      <w:r w:rsidR="00E10FB5">
        <w:t xml:space="preserve">the </w:t>
      </w:r>
      <w:r w:rsidR="007D79A5" w:rsidRPr="00A524B9">
        <w:t xml:space="preserve">EPA NONROAD </w:t>
      </w:r>
      <w:r w:rsidR="00E10FB5">
        <w:t xml:space="preserve">model </w:t>
      </w:r>
      <w:r w:rsidR="007D79A5" w:rsidRPr="00A524B9">
        <w:t>with fuel-specific emission factors</w:t>
      </w:r>
      <w:r w:rsidR="006E518F">
        <w:t>. The current inventory uses both</w:t>
      </w:r>
      <w:r w:rsidR="007D79A5" w:rsidRPr="00A524B9">
        <w:t xml:space="preserve"> </w:t>
      </w:r>
      <w:r w:rsidR="006E518F">
        <w:t xml:space="preserve">activity and </w:t>
      </w:r>
      <w:r w:rsidR="007D79A5" w:rsidRPr="00A524B9">
        <w:t>emission factors</w:t>
      </w:r>
      <w:r w:rsidR="00E10FB5">
        <w:t xml:space="preserve"> from the NONROAD model</w:t>
      </w:r>
      <w:r w:rsidR="007D79A5" w:rsidRPr="00A524B9">
        <w:t xml:space="preserve">, which led to an increase in nonroad emissions for most categories. </w:t>
      </w:r>
    </w:p>
    <w:p w14:paraId="3FD111C6" w14:textId="30A29904" w:rsidR="00C8060A" w:rsidRDefault="00C8060A" w:rsidP="00CA1E6E">
      <w:r>
        <w:rPr>
          <w:noProof/>
        </w:rPr>
        <w:lastRenderedPageBreak/>
        <mc:AlternateContent>
          <mc:Choice Requires="wps">
            <w:drawing>
              <wp:inline distT="0" distB="0" distL="0" distR="0" wp14:anchorId="3E0A6A49" wp14:editId="16012412">
                <wp:extent cx="5844209" cy="1404620"/>
                <wp:effectExtent l="0" t="0" r="23495" b="2095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209" cy="1404620"/>
                        </a:xfrm>
                        <a:prstGeom prst="rect">
                          <a:avLst/>
                        </a:prstGeom>
                        <a:solidFill>
                          <a:srgbClr val="FFFFFF"/>
                        </a:solidFill>
                        <a:ln w="9525">
                          <a:solidFill>
                            <a:srgbClr val="000000"/>
                          </a:solidFill>
                          <a:miter lim="800000"/>
                          <a:headEnd/>
                          <a:tailEnd/>
                        </a:ln>
                      </wps:spPr>
                      <wps:txbx>
                        <w:txbxContent>
                          <w:p w14:paraId="63A12C66" w14:textId="254AFA09" w:rsidR="00B9756F" w:rsidRPr="00EA2B08" w:rsidRDefault="00B9756F">
                            <w:pPr>
                              <w:rPr>
                                <w:b/>
                              </w:rPr>
                            </w:pPr>
                            <w:r w:rsidRPr="00A524B9">
                              <w:rPr>
                                <w:b/>
                              </w:rPr>
                              <w:t>The U.S. Community Protocol</w:t>
                            </w:r>
                          </w:p>
                          <w:p w14:paraId="71B9AE4E" w14:textId="77777777" w:rsidR="00B9756F" w:rsidRDefault="00B9756F" w:rsidP="0090295D">
                            <w:r>
                              <w:t>The Community Protocol was built to provide easily applicable and accurate community-level estimates of GHG emissions. This protocol provides a consistent framework in which to compare protocols from a geographic boundary across time.</w:t>
                            </w:r>
                            <w:r>
                              <w:rPr>
                                <w:rStyle w:val="CommentReference"/>
                              </w:rPr>
                              <w:annotationRef/>
                            </w:r>
                            <w:r>
                              <w:t xml:space="preserve"> The U.S. Community Protocol was designed for community-scale GHG accounting, making it a valuable tool for counties and cities, and an appropriate choice for King County. The Community Protocol is widely used, understood, and respected.</w:t>
                            </w:r>
                          </w:p>
                          <w:p w14:paraId="4552EEF3" w14:textId="56C1F137" w:rsidR="00B9756F" w:rsidRDefault="00B9756F" w:rsidP="0090295D">
                            <w:r>
                              <w:t xml:space="preserve">This inventory follows the Community Protocol </w:t>
                            </w:r>
                            <w:r w:rsidRPr="00EA2B08">
                              <w:t xml:space="preserve">methodology, and deviates from </w:t>
                            </w:r>
                            <w:r>
                              <w:t xml:space="preserve">its stated </w:t>
                            </w:r>
                            <w:r w:rsidRPr="00EA2B08">
                              <w:t xml:space="preserve">methods only when more precise, local data is available, per the Community Protocol recommendations. The Local Governments for Sustainability </w:t>
                            </w:r>
                            <w:r>
                              <w:t xml:space="preserve">(ICLEI) </w:t>
                            </w:r>
                            <w:r w:rsidRPr="00EA2B08">
                              <w:t xml:space="preserve">created the U.S. Community protocol in </w:t>
                            </w:r>
                            <w:r>
                              <w:t>2013</w:t>
                            </w:r>
                            <w:r w:rsidRPr="00EA2B08">
                              <w:t>. The U.S. Community Protocol requires</w:t>
                            </w:r>
                            <w:r>
                              <w:t>, at a minimum, reporting of the following five activities: 1) Use of electricity by the community 2) Use of fuel in residential and commercial stationary combustion equipment 3) On-road passenger and freight motor vehicle travel 4) Use of energy in potable water and wastewater treatment and distribution 5) Generation of solid waste by the community.</w:t>
                            </w:r>
                            <w:r w:rsidRPr="00EA2B08">
                              <w:t xml:space="preserve"> Other protocols, such as the Global Protocol for Community-scale GHG Emissions (GPC) are also commonly used. Whereas the GPC focuses primarily on the </w:t>
                            </w:r>
                            <w:r>
                              <w:t>reporting and categorical requirements</w:t>
                            </w:r>
                            <w:r w:rsidRPr="00EA2B08">
                              <w:t xml:space="preserve"> of </w:t>
                            </w:r>
                            <w:r>
                              <w:t>an inventory</w:t>
                            </w:r>
                            <w:r w:rsidRPr="00EA2B08">
                              <w:t xml:space="preserve">, the U.S. Community Protocol provides specific </w:t>
                            </w:r>
                            <w:r>
                              <w:t>methodologies</w:t>
                            </w:r>
                            <w:r w:rsidRPr="00EA2B08">
                              <w:t>, and often emission factors, to calculate different emissions</w:t>
                            </w:r>
                            <w:r>
                              <w:t xml:space="preserve"> sources</w:t>
                            </w:r>
                            <w:r w:rsidRPr="00EA2B08">
                              <w:t xml:space="preserve">. </w:t>
                            </w:r>
                          </w:p>
                          <w:p w14:paraId="44747975" w14:textId="2CDEFB6D" w:rsidR="00B9756F" w:rsidRDefault="00B9756F" w:rsidP="00210C07">
                            <w:r>
                              <w:t>This inventory calculates emissions associated with the five activities required of the U.S. Community Protocol, as well as other activities calculated in prior inventory years. The first two activities (community electricity use and stationary fuel combustion) are presented together within the “Residential and Commercial Buildings” and “Industry” sections of this report.</w:t>
                            </w:r>
                          </w:p>
                          <w:p w14:paraId="50935A20" w14:textId="790ABB2D" w:rsidR="00B9756F" w:rsidRDefault="00B9756F" w:rsidP="0090295D">
                            <w:r w:rsidRPr="00EA2B08">
                              <w:t xml:space="preserve">Additionally, the GPC </w:t>
                            </w:r>
                            <w:r>
                              <w:t>includes</w:t>
                            </w:r>
                            <w:r w:rsidRPr="00EA2B08">
                              <w:t xml:space="preserve"> consumption-based emissions, and some sinks, whereas the U.S. Community Protocol does not</w:t>
                            </w:r>
                            <w:r>
                              <w:t xml:space="preserve"> include sinks. Carbon sinks refer to processes that take greenhouse gases out of the atmosphere. By not accounting for sinks, the U.S. Community Protocol can over-represent the net GHG emissions, and allows for some societal goods, such as waste composting, to be perceived negatively. However, other sinks, such as a landfilling, could be perceived positively as a GHG sink, even though increased landfilling of waste is generally not considered a societal good</w:t>
                            </w:r>
                            <w:r w:rsidRPr="00EA2B08">
                              <w:t>.</w:t>
                            </w:r>
                          </w:p>
                        </w:txbxContent>
                      </wps:txbx>
                      <wps:bodyPr rot="0" vert="horz" wrap="square" lIns="91440" tIns="45720" rIns="91440" bIns="45720" anchor="t" anchorCtr="0">
                        <a:spAutoFit/>
                      </wps:bodyPr>
                    </wps:wsp>
                  </a:graphicData>
                </a:graphic>
              </wp:inline>
            </w:drawing>
          </mc:Choice>
          <mc:Fallback>
            <w:pict>
              <v:shapetype w14:anchorId="3E0A6A49" id="_x0000_t202" coordsize="21600,21600" o:spt="202" path="m,l,21600r21600,l21600,xe">
                <v:stroke joinstyle="miter"/>
                <v:path gradientshapeok="t" o:connecttype="rect"/>
              </v:shapetype>
              <v:shape id="Text Box 2" o:spid="_x0000_s1026" type="#_x0000_t202" style="width:460.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">
                <v:textbox style="mso-fit-shape-to-text:t">
                  <w:txbxContent>
                    <w:p w14:paraId="63A12C66" w14:textId="254AFA09" w:rsidR="00B9756F" w:rsidRPr="00EA2B08" w:rsidRDefault="00B9756F">
                      <w:pPr>
                        <w:rPr>
                          <w:b/>
                        </w:rPr>
                      </w:pPr>
                      <w:r w:rsidRPr="00A524B9">
                        <w:rPr>
                          <w:b/>
                        </w:rPr>
                        <w:t>The U.S. Community Protocol</w:t>
                      </w:r>
                    </w:p>
                    <w:p w14:paraId="71B9AE4E" w14:textId="77777777" w:rsidR="00B9756F" w:rsidRDefault="00B9756F" w:rsidP="0090295D">
                      <w:r>
                        <w:t>The Community Protocol was built to provide easily applicable and accurate community-level estimates of GHG emissions. This protocol provides a consistent framework in which to compare protocols from a geographic boundary across time.</w:t>
                      </w:r>
                      <w:r>
                        <w:rPr>
                          <w:rStyle w:val="CommentReference"/>
                        </w:rPr>
                        <w:annotationRef/>
                      </w:r>
                      <w:r>
                        <w:t xml:space="preserve"> The U.S. Community Protocol was designed for community-scale GHG accounting, making it a valuable tool for counties and cities, and an appropriate choice for King County. The Community Protocol is widely used, understood, and respected.</w:t>
                      </w:r>
                    </w:p>
                    <w:p w14:paraId="4552EEF3" w14:textId="56C1F137" w:rsidR="00B9756F" w:rsidRDefault="00B9756F" w:rsidP="0090295D">
                      <w:r>
                        <w:t xml:space="preserve">This inventory follows the Community Protocol </w:t>
                      </w:r>
                      <w:r w:rsidRPr="00EA2B08">
                        <w:t xml:space="preserve">methodology, and deviates from </w:t>
                      </w:r>
                      <w:r>
                        <w:t xml:space="preserve">its stated </w:t>
                      </w:r>
                      <w:r w:rsidRPr="00EA2B08">
                        <w:t xml:space="preserve">methods only when more precise, local data is available, per the Community Protocol recommendations. The Local Governments for Sustainability </w:t>
                      </w:r>
                      <w:r>
                        <w:t xml:space="preserve">(ICLEI) </w:t>
                      </w:r>
                      <w:r w:rsidRPr="00EA2B08">
                        <w:t xml:space="preserve">created the U.S. Community protocol in </w:t>
                      </w:r>
                      <w:r>
                        <w:t>2013</w:t>
                      </w:r>
                      <w:r w:rsidRPr="00EA2B08">
                        <w:t>. The U.S. Community Protocol requires</w:t>
                      </w:r>
                      <w:r>
                        <w:t>, at a minimum, reporting of the following five activities: 1) Use of electricity by the community 2) Use of fuel in residential and commercial stationary combustion equipment 3) On-road passenger and freight motor vehicle travel 4) Use of energy in potable water and wastewater treatment and distribution 5) Generation of solid waste by the community.</w:t>
                      </w:r>
                      <w:r w:rsidRPr="00EA2B08">
                        <w:t xml:space="preserve"> Other protocols, such as the Global Protocol for Community-scale GHG Emissions (GPC) are also commonly used. Whereas the GPC focuses primarily on the </w:t>
                      </w:r>
                      <w:r>
                        <w:t>reporting and categorical requirements</w:t>
                      </w:r>
                      <w:r w:rsidRPr="00EA2B08">
                        <w:t xml:space="preserve"> of </w:t>
                      </w:r>
                      <w:r>
                        <w:t>an inventory</w:t>
                      </w:r>
                      <w:r w:rsidRPr="00EA2B08">
                        <w:t xml:space="preserve">, the U.S. Community Protocol provides specific </w:t>
                      </w:r>
                      <w:r>
                        <w:t>methodologies</w:t>
                      </w:r>
                      <w:r w:rsidRPr="00EA2B08">
                        <w:t>, and often emission factors, to calculate different emissions</w:t>
                      </w:r>
                      <w:r>
                        <w:t xml:space="preserve"> sources</w:t>
                      </w:r>
                      <w:r w:rsidRPr="00EA2B08">
                        <w:t xml:space="preserve">. </w:t>
                      </w:r>
                    </w:p>
                    <w:p w14:paraId="44747975" w14:textId="2CDEFB6D" w:rsidR="00B9756F" w:rsidRDefault="00B9756F" w:rsidP="00210C07">
                      <w:r>
                        <w:t>This inventory calculates emissions associated with the five activities required of the U.S. Community Protocol, as well as other activities calculated in prior inventory years. The first two activities (community electricity use and stationary fuel combustion) are presented together within the “Residential and Commercial Buildings” and “Industry” sections of this report.</w:t>
                      </w:r>
                    </w:p>
                    <w:p w14:paraId="50935A20" w14:textId="790ABB2D" w:rsidR="00B9756F" w:rsidRDefault="00B9756F" w:rsidP="0090295D">
                      <w:r w:rsidRPr="00EA2B08">
                        <w:t xml:space="preserve">Additionally, the GPC </w:t>
                      </w:r>
                      <w:r>
                        <w:t>includes</w:t>
                      </w:r>
                      <w:r w:rsidRPr="00EA2B08">
                        <w:t xml:space="preserve"> consumption-based emissions, and some sinks, whereas the U.S. Community Protocol does not</w:t>
                      </w:r>
                      <w:r>
                        <w:t xml:space="preserve"> include sinks. Carbon sinks refer to processes that take greenhouse gases out of the atmosphere. By not accounting for sinks, the U.S. Community Protocol can over-represent the net GHG emissions, and allows for some societal goods, such as waste composting, to be perceived negatively. However, other sinks, such as a landfilling, could be perceived positively as a GHG sink, even though increased landfilling of waste is generally not considered a societal good</w:t>
                      </w:r>
                      <w:r w:rsidRPr="00EA2B08">
                        <w:t>.</w:t>
                      </w:r>
                    </w:p>
                  </w:txbxContent>
                </v:textbox>
                <w10:anchorlock/>
              </v:shape>
            </w:pict>
          </mc:Fallback>
        </mc:AlternateContent>
      </w:r>
    </w:p>
    <w:p w14:paraId="03A0912E" w14:textId="77777777" w:rsidR="004D6F1B" w:rsidRDefault="004D6F1B">
      <w:pPr>
        <w:spacing w:before="0" w:after="160"/>
        <w:rPr>
          <w:b/>
          <w:iCs/>
          <w:sz w:val="18"/>
          <w:szCs w:val="18"/>
        </w:rPr>
      </w:pPr>
      <w:bookmarkStart w:id="45" w:name="_Ref483390136"/>
      <w:r>
        <w:br w:type="page"/>
      </w:r>
      <w:r w:rsidR="00F95C1F">
        <w:rPr>
          <w:rStyle w:val="CommentReference"/>
        </w:rPr>
        <w:commentReference w:id="46"/>
      </w:r>
    </w:p>
    <w:p w14:paraId="514AC0D3" w14:textId="252B7AA7" w:rsidR="0049222B" w:rsidRDefault="0049222B" w:rsidP="0049222B">
      <w:pPr>
        <w:pStyle w:val="Caption"/>
      </w:pPr>
      <w:bookmarkStart w:id="47" w:name="_Ref483407056"/>
      <w:commentRangeStart w:id="48"/>
      <w:commentRangeStart w:id="49"/>
      <w:r w:rsidRPr="00A524B9">
        <w:lastRenderedPageBreak/>
        <w:t xml:space="preserve">Table </w:t>
      </w:r>
      <w:fldSimple w:instr=" SEQ Table \* ARABIC ">
        <w:r w:rsidR="00F638BC">
          <w:rPr>
            <w:noProof/>
          </w:rPr>
          <w:t>7</w:t>
        </w:r>
      </w:fldSimple>
      <w:bookmarkEnd w:id="45"/>
      <w:bookmarkEnd w:id="47"/>
      <w:r w:rsidRPr="00A524B9">
        <w:t xml:space="preserve">. </w:t>
      </w:r>
      <w:r w:rsidR="00034223" w:rsidRPr="00A524B9">
        <w:t>Brief</w:t>
      </w:r>
      <w:r w:rsidR="00034223">
        <w:t xml:space="preserve"> m</w:t>
      </w:r>
      <w:r>
        <w:t>ethodological</w:t>
      </w:r>
      <w:r w:rsidR="00034223">
        <w:t xml:space="preserve"> outline of</w:t>
      </w:r>
      <w:r>
        <w:t xml:space="preserve"> previous inventories and </w:t>
      </w:r>
      <w:r w:rsidR="00D755D4">
        <w:t>this report</w:t>
      </w:r>
      <w:r w:rsidR="00544DDA">
        <w:t>.</w:t>
      </w:r>
      <w:commentRangeEnd w:id="48"/>
      <w:r w:rsidR="003B038C">
        <w:rPr>
          <w:rStyle w:val="CommentReference"/>
          <w:b w:val="0"/>
          <w:iCs w:val="0"/>
        </w:rPr>
        <w:commentReference w:id="48"/>
      </w:r>
      <w:commentRangeEnd w:id="49"/>
      <w:r w:rsidR="00BD5FBC">
        <w:rPr>
          <w:rStyle w:val="CommentReference"/>
          <w:b w:val="0"/>
          <w:iCs w:val="0"/>
        </w:rPr>
        <w:commentReference w:id="49"/>
      </w:r>
    </w:p>
    <w:tbl>
      <w:tblPr>
        <w:tblStyle w:val="TableGrid"/>
        <w:tblW w:w="0" w:type="auto"/>
        <w:tblLayout w:type="fixed"/>
        <w:tblLook w:val="04A0" w:firstRow="1" w:lastRow="0" w:firstColumn="1" w:lastColumn="0" w:noHBand="0" w:noVBand="1"/>
      </w:tblPr>
      <w:tblGrid>
        <w:gridCol w:w="2515"/>
        <w:gridCol w:w="3600"/>
        <w:gridCol w:w="3235"/>
      </w:tblGrid>
      <w:tr w:rsidR="00030EB5" w14:paraId="5AFD4C9C" w14:textId="77777777" w:rsidTr="004E21F9">
        <w:trPr>
          <w:tblHeader/>
        </w:trPr>
        <w:tc>
          <w:tcPr>
            <w:tcW w:w="2515" w:type="dxa"/>
            <w:shd w:val="clear" w:color="auto" w:fill="F1B828" w:themeFill="accent6"/>
          </w:tcPr>
          <w:p w14:paraId="5742393A" w14:textId="77777777" w:rsidR="00030EB5" w:rsidRDefault="00030EB5" w:rsidP="0069520B">
            <w:pPr>
              <w:spacing w:before="0" w:after="0"/>
              <w:contextualSpacing/>
            </w:pPr>
            <w:r>
              <w:t>Sector</w:t>
            </w:r>
          </w:p>
        </w:tc>
        <w:tc>
          <w:tcPr>
            <w:tcW w:w="3600" w:type="dxa"/>
            <w:shd w:val="clear" w:color="auto" w:fill="F1B828" w:themeFill="accent6"/>
          </w:tcPr>
          <w:p w14:paraId="229A40BC" w14:textId="78A070F6" w:rsidR="00030EB5" w:rsidRDefault="00034223" w:rsidP="0069520B">
            <w:pPr>
              <w:spacing w:before="0" w:after="0"/>
              <w:contextualSpacing/>
            </w:pPr>
            <w:r>
              <w:t xml:space="preserve">Methodology for </w:t>
            </w:r>
            <w:r w:rsidR="00BD5FBC">
              <w:t>p</w:t>
            </w:r>
            <w:r w:rsidR="00030EB5">
              <w:t xml:space="preserve">revious </w:t>
            </w:r>
            <w:r>
              <w:t>inventories</w:t>
            </w:r>
          </w:p>
        </w:tc>
        <w:tc>
          <w:tcPr>
            <w:tcW w:w="3235" w:type="dxa"/>
            <w:shd w:val="clear" w:color="auto" w:fill="F1B828" w:themeFill="accent6"/>
          </w:tcPr>
          <w:p w14:paraId="12B23DE6" w14:textId="01161C73" w:rsidR="00030EB5" w:rsidRDefault="00034223" w:rsidP="00B24805">
            <w:pPr>
              <w:spacing w:before="0" w:after="0"/>
              <w:contextualSpacing/>
            </w:pPr>
            <w:r>
              <w:t xml:space="preserve">Methodology </w:t>
            </w:r>
            <w:r w:rsidR="00D755D4">
              <w:t xml:space="preserve">update as part of this report for </w:t>
            </w:r>
            <w:r w:rsidR="00B24805">
              <w:t>all past</w:t>
            </w:r>
            <w:r w:rsidR="00D755D4">
              <w:t xml:space="preserve"> inventory years</w:t>
            </w:r>
          </w:p>
        </w:tc>
      </w:tr>
      <w:tr w:rsidR="00030EB5" w14:paraId="0AC1D7B4" w14:textId="77777777" w:rsidTr="004E21F9">
        <w:tc>
          <w:tcPr>
            <w:tcW w:w="2515" w:type="dxa"/>
          </w:tcPr>
          <w:p w14:paraId="4270F562" w14:textId="6E0543CD" w:rsidR="00030EB5" w:rsidRPr="00EA2B08" w:rsidRDefault="00030EB5" w:rsidP="0069520B">
            <w:pPr>
              <w:contextualSpacing/>
              <w:rPr>
                <w:b/>
              </w:rPr>
            </w:pPr>
            <w:r w:rsidRPr="00EA2B08">
              <w:rPr>
                <w:b/>
              </w:rPr>
              <w:t>Transportation (Road</w:t>
            </w:r>
            <w:r w:rsidR="00BD5FBC">
              <w:rPr>
                <w:b/>
              </w:rPr>
              <w:t xml:space="preserve"> Vehicles</w:t>
            </w:r>
            <w:r w:rsidRPr="00EA2B08">
              <w:rPr>
                <w:b/>
              </w:rPr>
              <w:t>)</w:t>
            </w:r>
          </w:p>
        </w:tc>
        <w:tc>
          <w:tcPr>
            <w:tcW w:w="3600" w:type="dxa"/>
          </w:tcPr>
          <w:p w14:paraId="6FC119CB" w14:textId="34344A0C" w:rsidR="00235862" w:rsidRDefault="00A03030" w:rsidP="00EA2B08">
            <w:pPr>
              <w:pStyle w:val="ListParagraph"/>
              <w:numPr>
                <w:ilvl w:val="0"/>
                <w:numId w:val="21"/>
              </w:numPr>
              <w:spacing w:before="0" w:after="0"/>
              <w:ind w:left="144" w:hanging="144"/>
            </w:pPr>
            <w:r>
              <w:t xml:space="preserve">VMT from </w:t>
            </w:r>
            <w:r w:rsidR="00030EB5">
              <w:t>P</w:t>
            </w:r>
            <w:r w:rsidR="00C8060A">
              <w:t xml:space="preserve">uget Sound Regional Council (PSRC) </w:t>
            </w:r>
            <w:r w:rsidR="00030EB5">
              <w:t>data</w:t>
            </w:r>
          </w:p>
          <w:p w14:paraId="02827BFC" w14:textId="66AB505E" w:rsidR="00030EB5" w:rsidRDefault="00971A30" w:rsidP="00BD5FBC">
            <w:pPr>
              <w:pStyle w:val="ListParagraph"/>
              <w:numPr>
                <w:ilvl w:val="0"/>
                <w:numId w:val="21"/>
              </w:numPr>
              <w:spacing w:before="0" w:after="0"/>
              <w:ind w:left="144" w:hanging="144"/>
            </w:pPr>
            <w:r>
              <w:t>National</w:t>
            </w:r>
            <w:r w:rsidR="00EA2B08">
              <w:t xml:space="preserve"> </w:t>
            </w:r>
            <w:r w:rsidR="00030EB5">
              <w:t>emission factors</w:t>
            </w:r>
            <w:r w:rsidR="00983BAE">
              <w:t xml:space="preserve"> </w:t>
            </w:r>
            <w:sdt>
              <w:sdtPr>
                <w:id w:val="241529402"/>
                <w:citation/>
              </w:sdtPr>
              <w:sdtContent>
                <w:r w:rsidR="000F636B">
                  <w:fldChar w:fldCharType="begin"/>
                </w:r>
                <w:r w:rsidR="000F636B">
                  <w:instrText xml:space="preserve"> CITATION USE08 \l 1033 </w:instrText>
                </w:r>
                <w:r w:rsidR="000F636B">
                  <w:fldChar w:fldCharType="separate"/>
                </w:r>
                <w:r w:rsidR="0040248B">
                  <w:rPr>
                    <w:noProof/>
                  </w:rPr>
                  <w:t>(U.S. Environmental Protection Agency, 2008)</w:t>
                </w:r>
                <w:r w:rsidR="000F636B">
                  <w:fldChar w:fldCharType="end"/>
                </w:r>
              </w:sdtContent>
            </w:sdt>
          </w:p>
        </w:tc>
        <w:tc>
          <w:tcPr>
            <w:tcW w:w="3235" w:type="dxa"/>
          </w:tcPr>
          <w:p w14:paraId="0A57B579" w14:textId="06E45392" w:rsidR="00235862" w:rsidRDefault="000819CC" w:rsidP="000819CC">
            <w:pPr>
              <w:pStyle w:val="ListParagraph"/>
              <w:numPr>
                <w:ilvl w:val="0"/>
                <w:numId w:val="21"/>
              </w:numPr>
              <w:spacing w:before="0" w:after="0"/>
              <w:ind w:left="144" w:hanging="144"/>
            </w:pPr>
            <w:r>
              <w:t xml:space="preserve">Emissions calculated by </w:t>
            </w:r>
            <w:r w:rsidR="0040106D">
              <w:t>PS</w:t>
            </w:r>
            <w:r>
              <w:t>RC as a function of VMT</w:t>
            </w:r>
            <w:r w:rsidR="00971A30">
              <w:t>, fuel mix, fleet age,</w:t>
            </w:r>
            <w:r>
              <w:t xml:space="preserve"> and EPA</w:t>
            </w:r>
            <w:r w:rsidR="00030EB5">
              <w:t xml:space="preserve"> MOVES</w:t>
            </w:r>
            <w:r>
              <w:t>2014a</w:t>
            </w:r>
            <w:r w:rsidR="00030EB5">
              <w:t xml:space="preserve"> emission factors</w:t>
            </w:r>
          </w:p>
          <w:p w14:paraId="62DB1BAE" w14:textId="2B6CEF13" w:rsidR="00030EB5" w:rsidRDefault="00235862" w:rsidP="00BD5FBC">
            <w:pPr>
              <w:pStyle w:val="ListParagraph"/>
              <w:numPr>
                <w:ilvl w:val="0"/>
                <w:numId w:val="21"/>
              </w:numPr>
              <w:spacing w:before="0" w:after="0"/>
              <w:ind w:left="144" w:hanging="144"/>
            </w:pPr>
            <w:r>
              <w:t>I</w:t>
            </w:r>
            <w:r w:rsidR="00030EB5">
              <w:t>nclusion of CH</w:t>
            </w:r>
            <w:r w:rsidR="00030EB5" w:rsidRPr="00235862">
              <w:rPr>
                <w:vertAlign w:val="subscript"/>
              </w:rPr>
              <w:t>4</w:t>
            </w:r>
            <w:r w:rsidR="00030EB5">
              <w:t xml:space="preserve"> and N</w:t>
            </w:r>
            <w:r w:rsidR="00030EB5" w:rsidRPr="00235862">
              <w:rPr>
                <w:vertAlign w:val="subscript"/>
              </w:rPr>
              <w:t>2</w:t>
            </w:r>
            <w:r w:rsidR="00030EB5">
              <w:t>O</w:t>
            </w:r>
          </w:p>
        </w:tc>
      </w:tr>
      <w:tr w:rsidR="00BD5FBC" w14:paraId="3B64B894" w14:textId="77777777" w:rsidTr="004E21F9">
        <w:tc>
          <w:tcPr>
            <w:tcW w:w="2515" w:type="dxa"/>
          </w:tcPr>
          <w:p w14:paraId="33EED926" w14:textId="2209D38B" w:rsidR="00BD5FBC" w:rsidRPr="00EA2B08" w:rsidRDefault="00BD5FBC" w:rsidP="0069520B">
            <w:pPr>
              <w:contextualSpacing/>
              <w:rPr>
                <w:b/>
              </w:rPr>
            </w:pPr>
            <w:r>
              <w:rPr>
                <w:b/>
              </w:rPr>
              <w:t>Transportation (Transit)</w:t>
            </w:r>
          </w:p>
        </w:tc>
        <w:tc>
          <w:tcPr>
            <w:tcW w:w="3600" w:type="dxa"/>
          </w:tcPr>
          <w:p w14:paraId="6D0D6570" w14:textId="4BF1F584" w:rsidR="00BD5FBC" w:rsidRDefault="00BD5FBC" w:rsidP="00EA2B08">
            <w:pPr>
              <w:pStyle w:val="ListParagraph"/>
              <w:numPr>
                <w:ilvl w:val="0"/>
                <w:numId w:val="21"/>
              </w:numPr>
              <w:spacing w:before="0" w:after="0"/>
              <w:ind w:left="144" w:hanging="144"/>
            </w:pPr>
            <w:r>
              <w:t xml:space="preserve">Transit fuel data used to determine </w:t>
            </w:r>
            <w:commentRangeStart w:id="50"/>
            <w:r>
              <w:t>emissions</w:t>
            </w:r>
            <w:commentRangeEnd w:id="50"/>
            <w:r>
              <w:rPr>
                <w:rStyle w:val="CommentReference"/>
              </w:rPr>
              <w:commentReference w:id="50"/>
            </w:r>
          </w:p>
        </w:tc>
        <w:tc>
          <w:tcPr>
            <w:tcW w:w="3235" w:type="dxa"/>
          </w:tcPr>
          <w:p w14:paraId="35F96356" w14:textId="59B6207F" w:rsidR="00BD5FBC" w:rsidRDefault="00BD5FBC" w:rsidP="000819CC">
            <w:pPr>
              <w:pStyle w:val="ListParagraph"/>
              <w:numPr>
                <w:ilvl w:val="0"/>
                <w:numId w:val="21"/>
              </w:numPr>
              <w:spacing w:before="0" w:after="0"/>
              <w:ind w:left="144" w:hanging="144"/>
            </w:pPr>
            <w:r>
              <w:t>No change to transit</w:t>
            </w:r>
          </w:p>
        </w:tc>
      </w:tr>
      <w:tr w:rsidR="00030EB5" w14:paraId="1DA2ADB9" w14:textId="77777777" w:rsidTr="004E21F9">
        <w:tc>
          <w:tcPr>
            <w:tcW w:w="2515" w:type="dxa"/>
          </w:tcPr>
          <w:p w14:paraId="497CD7AD" w14:textId="77777777" w:rsidR="00030EB5" w:rsidRPr="00EA2B08" w:rsidRDefault="00030EB5" w:rsidP="0069520B">
            <w:pPr>
              <w:contextualSpacing/>
              <w:rPr>
                <w:b/>
              </w:rPr>
            </w:pPr>
            <w:r w:rsidRPr="00EA2B08">
              <w:rPr>
                <w:b/>
              </w:rPr>
              <w:t>Transportation (Air)</w:t>
            </w:r>
          </w:p>
        </w:tc>
        <w:tc>
          <w:tcPr>
            <w:tcW w:w="3600" w:type="dxa"/>
          </w:tcPr>
          <w:p w14:paraId="0D828E35" w14:textId="5CF91386" w:rsidR="00030EB5" w:rsidRDefault="004E21F9" w:rsidP="00EA2B08">
            <w:pPr>
              <w:pStyle w:val="ListParagraph"/>
              <w:numPr>
                <w:ilvl w:val="0"/>
                <w:numId w:val="21"/>
              </w:numPr>
              <w:spacing w:before="0" w:after="0"/>
              <w:ind w:left="144" w:hanging="144"/>
            </w:pPr>
            <w:r>
              <w:t>Landing-takeoff (LTO) emissions for King County airport</w:t>
            </w:r>
          </w:p>
          <w:p w14:paraId="556AE608" w14:textId="3E1A961D" w:rsidR="004E21F9" w:rsidRPr="00BC633F" w:rsidRDefault="004E21F9" w:rsidP="00DA3D59">
            <w:pPr>
              <w:pStyle w:val="ListParagraph"/>
              <w:numPr>
                <w:ilvl w:val="0"/>
                <w:numId w:val="21"/>
              </w:numPr>
              <w:spacing w:before="0" w:after="0"/>
              <w:ind w:left="144" w:hanging="144"/>
            </w:pPr>
            <w:r>
              <w:t xml:space="preserve">King County </w:t>
            </w:r>
            <w:r w:rsidR="00DA3D59">
              <w:t>leisure</w:t>
            </w:r>
            <w:r>
              <w:t>/business travel emissions for SeaTac</w:t>
            </w:r>
            <w:r w:rsidR="003028E1">
              <w:t xml:space="preserve"> </w:t>
            </w:r>
          </w:p>
        </w:tc>
        <w:tc>
          <w:tcPr>
            <w:tcW w:w="3235" w:type="dxa"/>
          </w:tcPr>
          <w:p w14:paraId="6CFC7C16" w14:textId="77777777" w:rsidR="00030EB5" w:rsidRDefault="004E21F9" w:rsidP="00EA2B08">
            <w:pPr>
              <w:pStyle w:val="ListParagraph"/>
              <w:numPr>
                <w:ilvl w:val="0"/>
                <w:numId w:val="21"/>
              </w:numPr>
              <w:spacing w:before="0" w:after="0"/>
              <w:ind w:left="144" w:hanging="144"/>
            </w:pPr>
            <w:r>
              <w:t>Only included LTO emissions for both King County and SeaTac</w:t>
            </w:r>
          </w:p>
          <w:p w14:paraId="0107A71D" w14:textId="6B05A9E3" w:rsidR="004E21F9" w:rsidRPr="00BC633F" w:rsidRDefault="004E21F9" w:rsidP="003028E1">
            <w:pPr>
              <w:pStyle w:val="ListParagraph"/>
              <w:numPr>
                <w:ilvl w:val="0"/>
                <w:numId w:val="21"/>
              </w:numPr>
              <w:spacing w:before="0" w:after="0"/>
              <w:ind w:left="144" w:hanging="144"/>
            </w:pPr>
            <w:r>
              <w:t xml:space="preserve">King County resident/business air travel emissions moved to </w:t>
            </w:r>
            <w:r w:rsidR="003028E1">
              <w:t>a separate supplemental category</w:t>
            </w:r>
          </w:p>
        </w:tc>
      </w:tr>
      <w:tr w:rsidR="00BC633F" w14:paraId="1C58B7F9" w14:textId="77777777" w:rsidTr="004E21F9">
        <w:tc>
          <w:tcPr>
            <w:tcW w:w="2515" w:type="dxa"/>
          </w:tcPr>
          <w:p w14:paraId="26FD5EF1" w14:textId="2D314517" w:rsidR="00BC633F" w:rsidRPr="00EA2B08" w:rsidRDefault="00BC633F" w:rsidP="0069520B">
            <w:pPr>
              <w:contextualSpacing/>
              <w:rPr>
                <w:b/>
              </w:rPr>
            </w:pPr>
            <w:r w:rsidRPr="00EA2B08">
              <w:rPr>
                <w:b/>
              </w:rPr>
              <w:t>Transportation (Marine)</w:t>
            </w:r>
          </w:p>
        </w:tc>
        <w:tc>
          <w:tcPr>
            <w:tcW w:w="3600" w:type="dxa"/>
          </w:tcPr>
          <w:p w14:paraId="3B88F10E" w14:textId="75076FFD" w:rsidR="00D05B63" w:rsidRDefault="00D05B63" w:rsidP="00EA2B08">
            <w:pPr>
              <w:pStyle w:val="ListParagraph"/>
              <w:numPr>
                <w:ilvl w:val="0"/>
                <w:numId w:val="21"/>
              </w:numPr>
              <w:spacing w:before="0" w:after="0"/>
              <w:ind w:left="144" w:hanging="144"/>
            </w:pPr>
            <w:r>
              <w:t>Per-route, per-vessel ferry use (no source)</w:t>
            </w:r>
          </w:p>
          <w:p w14:paraId="56D19A04" w14:textId="63DD4ABC" w:rsidR="000819CC" w:rsidRDefault="00A03030" w:rsidP="00EA2B08">
            <w:pPr>
              <w:pStyle w:val="ListParagraph"/>
              <w:numPr>
                <w:ilvl w:val="0"/>
                <w:numId w:val="21"/>
              </w:numPr>
              <w:spacing w:before="0" w:after="0"/>
              <w:ind w:left="144" w:hanging="144"/>
            </w:pPr>
            <w:r>
              <w:t xml:space="preserve">Freight emissions scaled with freight tonnage </w:t>
            </w:r>
          </w:p>
          <w:p w14:paraId="193E77C8" w14:textId="3060AAA0" w:rsidR="00D05B63" w:rsidRDefault="0061769F" w:rsidP="00D05B63">
            <w:pPr>
              <w:pStyle w:val="ListParagraph"/>
              <w:spacing w:before="0" w:after="0"/>
              <w:ind w:left="144" w:firstLine="0"/>
            </w:pPr>
            <w:sdt>
              <w:sdtPr>
                <w:id w:val="-1510216708"/>
                <w:citation/>
              </w:sdtPr>
              <w:sdtContent>
                <w:r w:rsidR="000819CC">
                  <w:fldChar w:fldCharType="begin"/>
                </w:r>
                <w:r w:rsidR="000819CC">
                  <w:instrText xml:space="preserve"> CITATION Pug12 \l 1033 </w:instrText>
                </w:r>
                <w:r w:rsidR="000819CC">
                  <w:fldChar w:fldCharType="separate"/>
                </w:r>
                <w:r w:rsidR="0040248B">
                  <w:rPr>
                    <w:noProof/>
                  </w:rPr>
                  <w:t>(Puget Sound Clean Air Agency, 2012)</w:t>
                </w:r>
                <w:r w:rsidR="000819CC">
                  <w:fldChar w:fldCharType="end"/>
                </w:r>
              </w:sdtContent>
            </w:sdt>
            <w:r w:rsidR="000819CC">
              <w:t xml:space="preserve"> </w:t>
            </w:r>
          </w:p>
          <w:p w14:paraId="61300244" w14:textId="0AEA19E2" w:rsidR="00BC633F" w:rsidRPr="0090295D" w:rsidRDefault="00BC633F" w:rsidP="000819CC">
            <w:pPr>
              <w:pStyle w:val="ListParagraph"/>
              <w:spacing w:before="0" w:after="0"/>
              <w:ind w:left="144" w:firstLine="0"/>
            </w:pPr>
          </w:p>
        </w:tc>
        <w:tc>
          <w:tcPr>
            <w:tcW w:w="3235" w:type="dxa"/>
          </w:tcPr>
          <w:p w14:paraId="0021741F" w14:textId="1C74F7B9" w:rsidR="00BC633F" w:rsidRDefault="005E47DB" w:rsidP="00EA2B08">
            <w:pPr>
              <w:pStyle w:val="ListParagraph"/>
              <w:numPr>
                <w:ilvl w:val="0"/>
                <w:numId w:val="21"/>
              </w:numPr>
              <w:spacing w:before="0" w:after="0"/>
              <w:ind w:left="144" w:hanging="144"/>
            </w:pPr>
            <w:r>
              <w:t>F</w:t>
            </w:r>
            <w:r w:rsidR="00BC633F">
              <w:t>erry fuel use</w:t>
            </w:r>
            <w:r>
              <w:t xml:space="preserve"> </w:t>
            </w:r>
            <w:sdt>
              <w:sdtPr>
                <w:id w:val="-126946001"/>
                <w:citation/>
              </w:sdtPr>
              <w:sdtContent>
                <w:r>
                  <w:fldChar w:fldCharType="begin"/>
                </w:r>
                <w:r>
                  <w:instrText xml:space="preserve"> CITATION Was151 \l 1033 </w:instrText>
                </w:r>
                <w:r>
                  <w:fldChar w:fldCharType="separate"/>
                </w:r>
                <w:r w:rsidR="0040248B">
                  <w:rPr>
                    <w:noProof/>
                  </w:rPr>
                  <w:t>(Washington State Department of Transportation, 2015)</w:t>
                </w:r>
                <w:r>
                  <w:fldChar w:fldCharType="end"/>
                </w:r>
              </w:sdtContent>
            </w:sdt>
            <w:r>
              <w:t xml:space="preserve"> multiplied by diesel emission factors </w:t>
            </w:r>
            <w:sdt>
              <w:sdtPr>
                <w:id w:val="-1779938318"/>
                <w:citation/>
              </w:sdtPr>
              <w:sdtContent>
                <w:r>
                  <w:fldChar w:fldCharType="begin"/>
                </w:r>
                <w:r w:rsidR="006F1D68">
                  <w:instrText xml:space="preserve">CITATION USE17 \l 1033 </w:instrText>
                </w:r>
                <w:r>
                  <w:fldChar w:fldCharType="separate"/>
                </w:r>
                <w:r w:rsidR="006F1D68">
                  <w:rPr>
                    <w:noProof/>
                  </w:rPr>
                  <w:t>(U.S. Environmental Protection Agency, 2015)</w:t>
                </w:r>
                <w:r>
                  <w:fldChar w:fldCharType="end"/>
                </w:r>
              </w:sdtContent>
            </w:sdt>
          </w:p>
          <w:p w14:paraId="09D3C5D2" w14:textId="1C1B6F19" w:rsidR="006E518F" w:rsidRPr="00BC633F" w:rsidRDefault="006E518F" w:rsidP="006E518F">
            <w:pPr>
              <w:pStyle w:val="ListParagraph"/>
              <w:numPr>
                <w:ilvl w:val="0"/>
                <w:numId w:val="21"/>
              </w:numPr>
              <w:spacing w:before="0" w:after="0"/>
              <w:ind w:left="144" w:hanging="144"/>
            </w:pPr>
            <w:r>
              <w:t>NONROAD model outputs of harbor craft</w:t>
            </w:r>
          </w:p>
        </w:tc>
      </w:tr>
      <w:tr w:rsidR="00BC633F" w14:paraId="660968A0" w14:textId="77777777" w:rsidTr="004E21F9">
        <w:tc>
          <w:tcPr>
            <w:tcW w:w="2515" w:type="dxa"/>
          </w:tcPr>
          <w:p w14:paraId="3DC9EC72" w14:textId="11FFC1F5" w:rsidR="00BC633F" w:rsidRPr="00FB095C" w:rsidRDefault="00BC633F" w:rsidP="0069520B">
            <w:pPr>
              <w:contextualSpacing/>
              <w:rPr>
                <w:b/>
              </w:rPr>
            </w:pPr>
            <w:r w:rsidRPr="00FB095C">
              <w:rPr>
                <w:b/>
              </w:rPr>
              <w:t>Transportation (Freight)</w:t>
            </w:r>
          </w:p>
        </w:tc>
        <w:tc>
          <w:tcPr>
            <w:tcW w:w="3600" w:type="dxa"/>
          </w:tcPr>
          <w:p w14:paraId="0680AD81" w14:textId="41EABB45" w:rsidR="00BC633F" w:rsidRPr="00FB095C" w:rsidRDefault="000819CC" w:rsidP="00FB095C">
            <w:pPr>
              <w:pStyle w:val="ListParagraph"/>
              <w:numPr>
                <w:ilvl w:val="0"/>
                <w:numId w:val="21"/>
              </w:numPr>
              <w:spacing w:before="0" w:after="0"/>
              <w:ind w:left="144" w:hanging="144"/>
            </w:pPr>
            <w:r>
              <w:t xml:space="preserve">Freight emissions </w:t>
            </w:r>
            <w:sdt>
              <w:sdtPr>
                <w:id w:val="-627165315"/>
                <w:citation/>
              </w:sdtPr>
              <w:sdtContent>
                <w:r>
                  <w:fldChar w:fldCharType="begin"/>
                </w:r>
                <w:r>
                  <w:instrText xml:space="preserve"> CITATION Pug12 \l 1033 </w:instrText>
                </w:r>
                <w:r>
                  <w:fldChar w:fldCharType="separate"/>
                </w:r>
                <w:r w:rsidR="0040248B">
                  <w:rPr>
                    <w:noProof/>
                  </w:rPr>
                  <w:t>(Puget Sound Clean Air Agency, 2012)</w:t>
                </w:r>
                <w:r>
                  <w:fldChar w:fldCharType="end"/>
                </w:r>
              </w:sdtContent>
            </w:sdt>
            <w:r>
              <w:t xml:space="preserve"> </w:t>
            </w:r>
            <w:r w:rsidR="00BC633F" w:rsidRPr="00FB095C">
              <w:t>scaled to year’s tonnage</w:t>
            </w:r>
          </w:p>
        </w:tc>
        <w:tc>
          <w:tcPr>
            <w:tcW w:w="3235" w:type="dxa"/>
          </w:tcPr>
          <w:p w14:paraId="118CEA69" w14:textId="0898279B" w:rsidR="00BC633F" w:rsidRPr="00BC633F" w:rsidRDefault="00BC633F" w:rsidP="00FB095C">
            <w:pPr>
              <w:pStyle w:val="ListParagraph"/>
              <w:numPr>
                <w:ilvl w:val="0"/>
                <w:numId w:val="21"/>
              </w:numPr>
              <w:spacing w:before="0" w:after="0"/>
              <w:ind w:left="144" w:hanging="144"/>
            </w:pPr>
            <w:r>
              <w:t>No change</w:t>
            </w:r>
          </w:p>
        </w:tc>
      </w:tr>
      <w:tr w:rsidR="00030EB5" w14:paraId="5CFE19A5" w14:textId="77777777" w:rsidTr="004E21F9">
        <w:tc>
          <w:tcPr>
            <w:tcW w:w="2515" w:type="dxa"/>
          </w:tcPr>
          <w:p w14:paraId="04EF4FCE" w14:textId="77777777" w:rsidR="00030EB5" w:rsidRPr="00FB095C" w:rsidRDefault="00030EB5" w:rsidP="0069520B">
            <w:pPr>
              <w:contextualSpacing/>
              <w:rPr>
                <w:b/>
              </w:rPr>
            </w:pPr>
            <w:r w:rsidRPr="00FB095C">
              <w:rPr>
                <w:b/>
              </w:rPr>
              <w:t>Buildings and Industry (Electricity)</w:t>
            </w:r>
          </w:p>
        </w:tc>
        <w:tc>
          <w:tcPr>
            <w:tcW w:w="3600" w:type="dxa"/>
          </w:tcPr>
          <w:p w14:paraId="6BD53649" w14:textId="0B6CEEB9" w:rsidR="00030EB5" w:rsidRDefault="00030EB5" w:rsidP="00A03030">
            <w:pPr>
              <w:pStyle w:val="ListParagraph"/>
              <w:numPr>
                <w:ilvl w:val="0"/>
                <w:numId w:val="21"/>
              </w:numPr>
              <w:spacing w:before="0" w:after="0"/>
              <w:ind w:left="144" w:hanging="144"/>
            </w:pPr>
            <w:r>
              <w:t>P</w:t>
            </w:r>
            <w:r w:rsidR="00C8060A">
              <w:t>uget Sound Energy (PSE)</w:t>
            </w:r>
            <w:r>
              <w:t xml:space="preserve"> and </w:t>
            </w:r>
            <w:r w:rsidR="00C8060A">
              <w:t>Seattle City Light (</w:t>
            </w:r>
            <w:r>
              <w:t>SCL</w:t>
            </w:r>
            <w:r w:rsidR="00C8060A">
              <w:t>)</w:t>
            </w:r>
            <w:r>
              <w:t xml:space="preserve"> </w:t>
            </w:r>
            <w:r w:rsidR="00FB095C">
              <w:t xml:space="preserve">emission factors </w:t>
            </w:r>
            <w:r>
              <w:t>calculated</w:t>
            </w:r>
            <w:r w:rsidR="00A03030">
              <w:t xml:space="preserve"> using f</w:t>
            </w:r>
            <w:r>
              <w:t>uel mix</w:t>
            </w:r>
            <w:r w:rsidR="00A03030">
              <w:t xml:space="preserve"> reports to derive emissions from fuel combustion</w:t>
            </w:r>
            <w:r w:rsidR="000E7C82">
              <w:t xml:space="preserve"> </w:t>
            </w:r>
            <w:sdt>
              <w:sdtPr>
                <w:id w:val="1882985683"/>
                <w:citation/>
              </w:sdtPr>
              <w:sdtContent>
                <w:r w:rsidR="000E7C82">
                  <w:fldChar w:fldCharType="begin"/>
                </w:r>
                <w:r w:rsidR="000E7C82">
                  <w:instrText xml:space="preserve"> CITATION Was15 \l 1033 </w:instrText>
                </w:r>
                <w:r w:rsidR="000E7C82">
                  <w:fldChar w:fldCharType="separate"/>
                </w:r>
                <w:r w:rsidR="0040248B">
                  <w:rPr>
                    <w:noProof/>
                  </w:rPr>
                  <w:t>(Washington State Department of Commerce, 2015)</w:t>
                </w:r>
                <w:r w:rsidR="000E7C82">
                  <w:fldChar w:fldCharType="end"/>
                </w:r>
              </w:sdtContent>
            </w:sdt>
          </w:p>
        </w:tc>
        <w:tc>
          <w:tcPr>
            <w:tcW w:w="3235" w:type="dxa"/>
          </w:tcPr>
          <w:p w14:paraId="1FEDBD9B" w14:textId="2C0A9D94" w:rsidR="0007146E" w:rsidRDefault="00030EB5" w:rsidP="00C75476">
            <w:pPr>
              <w:pStyle w:val="ListParagraph"/>
              <w:numPr>
                <w:ilvl w:val="0"/>
                <w:numId w:val="21"/>
              </w:numPr>
              <w:spacing w:before="0" w:after="0"/>
              <w:ind w:left="144" w:hanging="144"/>
            </w:pPr>
            <w:r>
              <w:t>Inclusion of CH</w:t>
            </w:r>
            <w:r w:rsidRPr="0007146E">
              <w:rPr>
                <w:vertAlign w:val="subscript"/>
              </w:rPr>
              <w:t>4</w:t>
            </w:r>
            <w:r>
              <w:t xml:space="preserve"> and N</w:t>
            </w:r>
            <w:r w:rsidRPr="0007146E">
              <w:rPr>
                <w:vertAlign w:val="subscript"/>
              </w:rPr>
              <w:t>2</w:t>
            </w:r>
            <w:r>
              <w:t>O</w:t>
            </w:r>
            <w:r w:rsidR="0007146E">
              <w:t xml:space="preserve"> emission factors</w:t>
            </w:r>
            <w:r>
              <w:t xml:space="preserve"> to fuel mix</w:t>
            </w:r>
          </w:p>
          <w:p w14:paraId="08A5A339" w14:textId="2105233B" w:rsidR="00300D76" w:rsidRDefault="006E518F" w:rsidP="00300D76">
            <w:pPr>
              <w:pStyle w:val="ListParagraph"/>
              <w:numPr>
                <w:ilvl w:val="0"/>
                <w:numId w:val="21"/>
              </w:numPr>
              <w:spacing w:before="0" w:after="0"/>
              <w:ind w:left="144" w:hanging="144"/>
            </w:pPr>
            <w:r>
              <w:t>T</w:t>
            </w:r>
            <w:r w:rsidR="0040106D">
              <w:t>CR-based e</w:t>
            </w:r>
            <w:r w:rsidR="00030EB5">
              <w:t>mission factor for SCL</w:t>
            </w:r>
            <w:r w:rsidR="000819CC">
              <w:t xml:space="preserve"> </w:t>
            </w:r>
            <w:sdt>
              <w:sdtPr>
                <w:id w:val="-1840776456"/>
                <w:citation/>
              </w:sdtPr>
              <w:sdtContent>
                <w:r w:rsidR="000819CC">
                  <w:fldChar w:fldCharType="begin"/>
                </w:r>
                <w:r w:rsidR="000819CC">
                  <w:instrText xml:space="preserve"> CITATION The15 \l 1033 </w:instrText>
                </w:r>
                <w:r w:rsidR="000819CC">
                  <w:fldChar w:fldCharType="separate"/>
                </w:r>
                <w:r w:rsidR="0040248B">
                  <w:rPr>
                    <w:noProof/>
                  </w:rPr>
                  <w:t>(The Climate Registry, 2015)</w:t>
                </w:r>
                <w:r w:rsidR="000819CC">
                  <w:fldChar w:fldCharType="end"/>
                </w:r>
              </w:sdtContent>
            </w:sdt>
          </w:p>
          <w:p w14:paraId="18B44A73" w14:textId="77777777" w:rsidR="00030EB5" w:rsidRDefault="00300D76" w:rsidP="000819CC">
            <w:pPr>
              <w:pStyle w:val="ListParagraph"/>
              <w:numPr>
                <w:ilvl w:val="0"/>
                <w:numId w:val="21"/>
              </w:numPr>
              <w:spacing w:before="0" w:after="0"/>
              <w:ind w:left="144" w:hanging="144"/>
            </w:pPr>
            <w:r>
              <w:t>TCR-based methodology for PSE emission factor</w:t>
            </w:r>
          </w:p>
          <w:p w14:paraId="6D9089A9" w14:textId="0D4C1ADE" w:rsidR="004E21F9" w:rsidRDefault="004E21F9" w:rsidP="000819CC">
            <w:pPr>
              <w:pStyle w:val="ListParagraph"/>
              <w:numPr>
                <w:ilvl w:val="0"/>
                <w:numId w:val="21"/>
              </w:numPr>
              <w:spacing w:before="0" w:after="0"/>
              <w:ind w:left="144" w:hanging="144"/>
            </w:pPr>
            <w:r>
              <w:t>Accounted for transmission losses</w:t>
            </w:r>
          </w:p>
        </w:tc>
      </w:tr>
      <w:tr w:rsidR="00030EB5" w14:paraId="5F6409FA" w14:textId="77777777" w:rsidTr="004E21F9">
        <w:tc>
          <w:tcPr>
            <w:tcW w:w="2515" w:type="dxa"/>
          </w:tcPr>
          <w:p w14:paraId="1B2AB585" w14:textId="77777777" w:rsidR="00030EB5" w:rsidRPr="00FB095C" w:rsidRDefault="00030EB5" w:rsidP="0069520B">
            <w:pPr>
              <w:contextualSpacing/>
              <w:rPr>
                <w:b/>
              </w:rPr>
            </w:pPr>
            <w:r w:rsidRPr="00FB095C">
              <w:rPr>
                <w:b/>
              </w:rPr>
              <w:t>Buildings and Industry (Natural Gas and Oil)</w:t>
            </w:r>
          </w:p>
        </w:tc>
        <w:tc>
          <w:tcPr>
            <w:tcW w:w="3600" w:type="dxa"/>
          </w:tcPr>
          <w:p w14:paraId="76691C92" w14:textId="3931B5A3" w:rsidR="00235862" w:rsidRDefault="00030EB5" w:rsidP="00FB095C">
            <w:pPr>
              <w:pStyle w:val="ListParagraph"/>
              <w:numPr>
                <w:ilvl w:val="0"/>
                <w:numId w:val="21"/>
              </w:numPr>
              <w:spacing w:before="0" w:after="0"/>
              <w:ind w:left="144" w:hanging="144"/>
            </w:pPr>
            <w:r>
              <w:t>Quantity of natural gas and oil with emission factor</w:t>
            </w:r>
            <w:r w:rsidR="006F1D68">
              <w:t xml:space="preserve"> </w:t>
            </w:r>
            <w:sdt>
              <w:sdtPr>
                <w:id w:val="909663055"/>
                <w:citation/>
              </w:sdtPr>
              <w:sdtContent>
                <w:r w:rsidR="006F1D68">
                  <w:fldChar w:fldCharType="begin"/>
                </w:r>
                <w:r w:rsidR="006F1D68">
                  <w:instrText xml:space="preserve">CITATION USE17 \l 1033 </w:instrText>
                </w:r>
                <w:r w:rsidR="006F1D68">
                  <w:fldChar w:fldCharType="separate"/>
                </w:r>
                <w:r w:rsidR="006F1D68">
                  <w:rPr>
                    <w:noProof/>
                  </w:rPr>
                  <w:t>(U.S. Environmental Protection Agency, 2015)</w:t>
                </w:r>
                <w:r w:rsidR="006F1D68">
                  <w:fldChar w:fldCharType="end"/>
                </w:r>
              </w:sdtContent>
            </w:sdt>
            <w:r w:rsidR="006F1D68">
              <w:t xml:space="preserve"> </w:t>
            </w:r>
            <w:r w:rsidR="000819CC">
              <w:t xml:space="preserve"> </w:t>
            </w:r>
          </w:p>
          <w:p w14:paraId="50827C58" w14:textId="4B142639" w:rsidR="00030EB5" w:rsidRDefault="00FB095C" w:rsidP="0081248D">
            <w:pPr>
              <w:pStyle w:val="ListParagraph"/>
              <w:numPr>
                <w:ilvl w:val="0"/>
                <w:numId w:val="21"/>
              </w:numPr>
              <w:spacing w:before="0" w:after="0"/>
              <w:ind w:left="144" w:hanging="144"/>
            </w:pPr>
            <w:r>
              <w:t>Mobile road</w:t>
            </w:r>
            <w:r w:rsidR="00030EB5">
              <w:t xml:space="preserve"> emission factors </w:t>
            </w:r>
            <w:sdt>
              <w:sdtPr>
                <w:id w:val="-964657841"/>
                <w:citation/>
              </w:sdtPr>
              <w:sdtContent>
                <w:r w:rsidR="005D2E50">
                  <w:fldChar w:fldCharType="begin"/>
                </w:r>
                <w:r w:rsidR="005D2E50">
                  <w:instrText xml:space="preserve"> CITATION USE08 \l 1033 </w:instrText>
                </w:r>
                <w:r w:rsidR="005D2E50">
                  <w:fldChar w:fldCharType="separate"/>
                </w:r>
                <w:r w:rsidR="0040248B">
                  <w:rPr>
                    <w:noProof/>
                  </w:rPr>
                  <w:t>(U.S. Environmental Protection Agency, 2008)</w:t>
                </w:r>
                <w:r w:rsidR="005D2E50">
                  <w:fldChar w:fldCharType="end"/>
                </w:r>
              </w:sdtContent>
            </w:sdt>
            <w:r w:rsidR="005D2E50">
              <w:t xml:space="preserve"> </w:t>
            </w:r>
            <w:r w:rsidR="00030EB5">
              <w:t>applied to NONROAD</w:t>
            </w:r>
            <w:r w:rsidR="005D2E50">
              <w:t xml:space="preserve"> </w:t>
            </w:r>
            <w:r w:rsidR="0081248D">
              <w:t>fuel use</w:t>
            </w:r>
            <w:r w:rsidR="00311849">
              <w:t xml:space="preserve"> data</w:t>
            </w:r>
          </w:p>
        </w:tc>
        <w:tc>
          <w:tcPr>
            <w:tcW w:w="3235" w:type="dxa"/>
          </w:tcPr>
          <w:p w14:paraId="392FCFEE" w14:textId="6261A304" w:rsidR="00235862" w:rsidRDefault="00030EB5" w:rsidP="00FB095C">
            <w:pPr>
              <w:pStyle w:val="ListParagraph"/>
              <w:numPr>
                <w:ilvl w:val="0"/>
                <w:numId w:val="21"/>
              </w:numPr>
              <w:spacing w:before="0" w:after="0"/>
              <w:ind w:left="144" w:hanging="144"/>
            </w:pPr>
            <w:r>
              <w:t>Inclusion of CH</w:t>
            </w:r>
            <w:r w:rsidRPr="00235862">
              <w:rPr>
                <w:vertAlign w:val="subscript"/>
              </w:rPr>
              <w:t>4</w:t>
            </w:r>
            <w:r>
              <w:t xml:space="preserve"> and N</w:t>
            </w:r>
            <w:r w:rsidRPr="00235862">
              <w:rPr>
                <w:vertAlign w:val="subscript"/>
              </w:rPr>
              <w:t>2</w:t>
            </w:r>
            <w:r>
              <w:t>O, quantity of natural gas and oil with EPA emission factors</w:t>
            </w:r>
            <w:r w:rsidR="003D5714">
              <w:t xml:space="preserve"> </w:t>
            </w:r>
            <w:sdt>
              <w:sdtPr>
                <w:id w:val="-107896996"/>
                <w:citation/>
              </w:sdtPr>
              <w:sdtContent>
                <w:r w:rsidR="003D5714">
                  <w:fldChar w:fldCharType="begin"/>
                </w:r>
                <w:r w:rsidR="006F1D68">
                  <w:instrText xml:space="preserve">CITATION USE17 \l 1033 </w:instrText>
                </w:r>
                <w:r w:rsidR="003D5714">
                  <w:fldChar w:fldCharType="separate"/>
                </w:r>
                <w:r w:rsidR="006F1D68">
                  <w:rPr>
                    <w:noProof/>
                  </w:rPr>
                  <w:t>(U.S. Environmental Protection Agency, 2015)</w:t>
                </w:r>
                <w:r w:rsidR="003D5714">
                  <w:fldChar w:fldCharType="end"/>
                </w:r>
              </w:sdtContent>
            </w:sdt>
          </w:p>
          <w:p w14:paraId="38E90B52" w14:textId="19B8D8B2" w:rsidR="00030EB5" w:rsidRDefault="00030EB5" w:rsidP="00FB095C">
            <w:pPr>
              <w:pStyle w:val="ListParagraph"/>
              <w:numPr>
                <w:ilvl w:val="0"/>
                <w:numId w:val="21"/>
              </w:numPr>
              <w:spacing w:before="0" w:after="0"/>
              <w:ind w:left="144" w:hanging="144"/>
            </w:pPr>
            <w:r>
              <w:t>NONROAD emission factors</w:t>
            </w:r>
            <w:r w:rsidR="00311849">
              <w:t xml:space="preserve"> applied to NONROAD fuel use data </w:t>
            </w:r>
            <w:sdt>
              <w:sdtPr>
                <w:id w:val="-166786609"/>
                <w:citation/>
              </w:sdtPr>
              <w:sdtContent>
                <w:r w:rsidR="00311849">
                  <w:fldChar w:fldCharType="begin"/>
                </w:r>
                <w:r w:rsidR="006F1D68">
                  <w:instrText xml:space="preserve">CITATION USE17 \l 1033 </w:instrText>
                </w:r>
                <w:r w:rsidR="00311849">
                  <w:fldChar w:fldCharType="separate"/>
                </w:r>
                <w:r w:rsidR="006F1D68">
                  <w:rPr>
                    <w:noProof/>
                  </w:rPr>
                  <w:t>(U.S. Environmental Protection Agency, 2015)</w:t>
                </w:r>
                <w:r w:rsidR="00311849">
                  <w:fldChar w:fldCharType="end"/>
                </w:r>
              </w:sdtContent>
            </w:sdt>
          </w:p>
        </w:tc>
      </w:tr>
      <w:tr w:rsidR="00BB509C" w14:paraId="15DC20AC" w14:textId="77777777" w:rsidTr="004E21F9">
        <w:tc>
          <w:tcPr>
            <w:tcW w:w="2515" w:type="dxa"/>
          </w:tcPr>
          <w:p w14:paraId="15148472" w14:textId="1B210394" w:rsidR="00BB509C" w:rsidRPr="00FB095C" w:rsidRDefault="00BB509C" w:rsidP="003D25A1">
            <w:pPr>
              <w:contextualSpacing/>
              <w:rPr>
                <w:b/>
              </w:rPr>
            </w:pPr>
            <w:r>
              <w:rPr>
                <w:b/>
              </w:rPr>
              <w:lastRenderedPageBreak/>
              <w:t>Fugitive gases (ODS substitutes and switchgear insulation</w:t>
            </w:r>
            <w:r w:rsidR="003D25A1">
              <w:rPr>
                <w:b/>
              </w:rPr>
              <w:t xml:space="preserve"> SF</w:t>
            </w:r>
            <w:r w:rsidR="003D25A1" w:rsidRPr="003D25A1">
              <w:rPr>
                <w:b/>
                <w:vertAlign w:val="subscript"/>
              </w:rPr>
              <w:t>6</w:t>
            </w:r>
            <w:r>
              <w:rPr>
                <w:b/>
              </w:rPr>
              <w:t>)</w:t>
            </w:r>
          </w:p>
        </w:tc>
        <w:tc>
          <w:tcPr>
            <w:tcW w:w="3600" w:type="dxa"/>
          </w:tcPr>
          <w:p w14:paraId="387B5BD0" w14:textId="77777777" w:rsidR="00BB509C" w:rsidRDefault="00BB509C" w:rsidP="00BB509C">
            <w:pPr>
              <w:pStyle w:val="ListParagraph"/>
              <w:numPr>
                <w:ilvl w:val="0"/>
                <w:numId w:val="21"/>
              </w:numPr>
              <w:spacing w:before="0" w:after="0"/>
              <w:ind w:left="144" w:hanging="144"/>
            </w:pPr>
            <w:r>
              <w:t>EPA ODS tool</w:t>
            </w:r>
          </w:p>
          <w:p w14:paraId="4F29D923" w14:textId="0BF43B2F" w:rsidR="001910FC" w:rsidRDefault="003D25A1" w:rsidP="00BB509C">
            <w:pPr>
              <w:pStyle w:val="ListParagraph"/>
              <w:numPr>
                <w:ilvl w:val="0"/>
                <w:numId w:val="21"/>
              </w:numPr>
              <w:spacing w:before="0" w:after="0"/>
              <w:ind w:left="144" w:hanging="144"/>
            </w:pPr>
            <w:r>
              <w:t>Scaled countywide</w:t>
            </w:r>
            <w:r w:rsidR="001910FC">
              <w:t xml:space="preserve"> SF</w:t>
            </w:r>
            <w:r w:rsidR="001910FC" w:rsidRPr="003D25A1">
              <w:rPr>
                <w:vertAlign w:val="subscript"/>
              </w:rPr>
              <w:t>6</w:t>
            </w:r>
            <w:r w:rsidR="001910FC">
              <w:t xml:space="preserve"> values</w:t>
            </w:r>
          </w:p>
        </w:tc>
        <w:tc>
          <w:tcPr>
            <w:tcW w:w="3235" w:type="dxa"/>
          </w:tcPr>
          <w:p w14:paraId="30F5419D" w14:textId="6A7FE00D" w:rsidR="00BB509C" w:rsidRDefault="00BB509C" w:rsidP="00BB509C">
            <w:pPr>
              <w:pStyle w:val="ListParagraph"/>
              <w:numPr>
                <w:ilvl w:val="0"/>
                <w:numId w:val="21"/>
              </w:numPr>
              <w:spacing w:before="0" w:after="0"/>
              <w:ind w:left="144" w:hanging="144"/>
            </w:pPr>
            <w:r>
              <w:t xml:space="preserve">National </w:t>
            </w:r>
            <w:r w:rsidR="001910FC">
              <w:t xml:space="preserve">ODS substitutes </w:t>
            </w:r>
            <w:r>
              <w:t xml:space="preserve">value scaled to region by population </w:t>
            </w:r>
            <w:sdt>
              <w:sdtPr>
                <w:id w:val="-1397510548"/>
                <w:citation/>
              </w:sdtPr>
              <w:sdtContent>
                <w:r>
                  <w:fldChar w:fldCharType="begin"/>
                </w:r>
                <w:r>
                  <w:instrText xml:space="preserve">CITATION USE17 \l 1033 </w:instrText>
                </w:r>
                <w:r>
                  <w:fldChar w:fldCharType="separate"/>
                </w:r>
                <w:r>
                  <w:rPr>
                    <w:noProof/>
                  </w:rPr>
                  <w:t>(U.S. Environmental Protection Agency, 2015)</w:t>
                </w:r>
                <w:r>
                  <w:fldChar w:fldCharType="end"/>
                </w:r>
              </w:sdtContent>
            </w:sdt>
          </w:p>
          <w:p w14:paraId="137BF7BF" w14:textId="7C2E0399" w:rsidR="001910FC" w:rsidRDefault="003D25A1" w:rsidP="00BB509C">
            <w:pPr>
              <w:pStyle w:val="ListParagraph"/>
              <w:numPr>
                <w:ilvl w:val="0"/>
                <w:numId w:val="21"/>
              </w:numPr>
              <w:spacing w:before="0" w:after="0"/>
              <w:ind w:left="144" w:hanging="144"/>
            </w:pPr>
            <w:r>
              <w:t>Utility-specific SF</w:t>
            </w:r>
            <w:r w:rsidRPr="003D25A1">
              <w:rPr>
                <w:vertAlign w:val="subscript"/>
              </w:rPr>
              <w:t>6</w:t>
            </w:r>
            <w:r>
              <w:t xml:space="preserve"> emissions values</w:t>
            </w:r>
          </w:p>
        </w:tc>
      </w:tr>
      <w:tr w:rsidR="00BB509C" w14:paraId="02EE92D2" w14:textId="77777777" w:rsidTr="004E21F9">
        <w:tc>
          <w:tcPr>
            <w:tcW w:w="2515" w:type="dxa"/>
          </w:tcPr>
          <w:p w14:paraId="1BDF96B6" w14:textId="77777777" w:rsidR="00BB509C" w:rsidRPr="0090295D" w:rsidRDefault="00BB509C" w:rsidP="00BB509C">
            <w:pPr>
              <w:contextualSpacing/>
              <w:rPr>
                <w:b/>
              </w:rPr>
            </w:pPr>
            <w:r w:rsidRPr="0090295D">
              <w:rPr>
                <w:b/>
              </w:rPr>
              <w:t>Waste</w:t>
            </w:r>
          </w:p>
        </w:tc>
        <w:tc>
          <w:tcPr>
            <w:tcW w:w="3600" w:type="dxa"/>
          </w:tcPr>
          <w:p w14:paraId="6BA58441" w14:textId="0D7D54E0" w:rsidR="00BB509C" w:rsidRDefault="00BB509C" w:rsidP="00BB509C">
            <w:pPr>
              <w:pStyle w:val="ListParagraph"/>
              <w:numPr>
                <w:ilvl w:val="0"/>
                <w:numId w:val="21"/>
              </w:numPr>
              <w:spacing w:before="0" w:after="0"/>
              <w:ind w:left="144" w:hanging="144"/>
            </w:pPr>
            <w:r>
              <w:t xml:space="preserve">Waste characterization </w:t>
            </w:r>
            <w:sdt>
              <w:sdtPr>
                <w:id w:val="-1195845868"/>
                <w:citation/>
              </w:sdtPr>
              <w:sdtContent>
                <w:r>
                  <w:fldChar w:fldCharType="begin"/>
                </w:r>
                <w:r>
                  <w:instrText xml:space="preserve">CITATION Kin15 \l 1033 </w:instrText>
                </w:r>
                <w:r>
                  <w:fldChar w:fldCharType="separate"/>
                </w:r>
                <w:r>
                  <w:rPr>
                    <w:noProof/>
                  </w:rPr>
                  <w:t>(King County, 2017)</w:t>
                </w:r>
                <w:r>
                  <w:fldChar w:fldCharType="end"/>
                </w:r>
              </w:sdtContent>
            </w:sdt>
            <w:r>
              <w:t xml:space="preserve"> and EPA WARM v8 emission factors</w:t>
            </w:r>
          </w:p>
        </w:tc>
        <w:tc>
          <w:tcPr>
            <w:tcW w:w="3235" w:type="dxa"/>
          </w:tcPr>
          <w:p w14:paraId="37E2F40B" w14:textId="75E6302E" w:rsidR="00BB509C" w:rsidRDefault="00BB509C" w:rsidP="00BB509C">
            <w:pPr>
              <w:pStyle w:val="ListParagraph"/>
              <w:numPr>
                <w:ilvl w:val="0"/>
                <w:numId w:val="21"/>
              </w:numPr>
              <w:spacing w:before="0" w:after="0"/>
              <w:ind w:left="144" w:hanging="144"/>
            </w:pPr>
            <w:r>
              <w:t xml:space="preserve">Waste characterization </w:t>
            </w:r>
            <w:sdt>
              <w:sdtPr>
                <w:id w:val="558449660"/>
                <w:citation/>
              </w:sdtPr>
              <w:sdtContent>
                <w:r>
                  <w:fldChar w:fldCharType="begin"/>
                </w:r>
                <w:r>
                  <w:instrText xml:space="preserve">CITATION Kin15 \l 1033 </w:instrText>
                </w:r>
                <w:r>
                  <w:fldChar w:fldCharType="separate"/>
                </w:r>
                <w:r>
                  <w:rPr>
                    <w:noProof/>
                  </w:rPr>
                  <w:t>(King County, 2017)</w:t>
                </w:r>
                <w:r>
                  <w:fldChar w:fldCharType="end"/>
                </w:r>
              </w:sdtContent>
            </w:sdt>
            <w:r>
              <w:t xml:space="preserve"> and updated EPA WARM v14 emission factors</w:t>
            </w:r>
          </w:p>
          <w:p w14:paraId="47CF9E09" w14:textId="735717AE" w:rsidR="00BB509C" w:rsidRDefault="00BB509C" w:rsidP="00BB509C">
            <w:pPr>
              <w:pStyle w:val="ListParagraph"/>
              <w:numPr>
                <w:ilvl w:val="0"/>
                <w:numId w:val="21"/>
              </w:numPr>
              <w:spacing w:before="0" w:after="0"/>
              <w:ind w:left="144" w:hanging="144"/>
            </w:pPr>
            <w:r>
              <w:t>Included composting emissions</w:t>
            </w:r>
          </w:p>
        </w:tc>
      </w:tr>
      <w:tr w:rsidR="00BB509C" w14:paraId="52D2D072" w14:textId="77777777" w:rsidTr="004E21F9">
        <w:tc>
          <w:tcPr>
            <w:tcW w:w="2515" w:type="dxa"/>
          </w:tcPr>
          <w:p w14:paraId="73AA3199" w14:textId="0309E01F" w:rsidR="00BB509C" w:rsidRPr="0090295D" w:rsidRDefault="00BB509C" w:rsidP="00BB509C">
            <w:pPr>
              <w:contextualSpacing/>
              <w:rPr>
                <w:b/>
              </w:rPr>
            </w:pPr>
            <w:r w:rsidRPr="0090295D">
              <w:rPr>
                <w:b/>
              </w:rPr>
              <w:t>Wastewater</w:t>
            </w:r>
          </w:p>
        </w:tc>
        <w:tc>
          <w:tcPr>
            <w:tcW w:w="3600" w:type="dxa"/>
          </w:tcPr>
          <w:p w14:paraId="633DA714" w14:textId="3752F2E8" w:rsidR="00BB509C" w:rsidRDefault="00BB509C" w:rsidP="00BB509C">
            <w:pPr>
              <w:pStyle w:val="ListParagraph"/>
              <w:numPr>
                <w:ilvl w:val="0"/>
                <w:numId w:val="21"/>
              </w:numPr>
              <w:spacing w:before="0" w:after="0"/>
              <w:ind w:left="144" w:hanging="144"/>
            </w:pPr>
            <w:r>
              <w:t>Included biogas emissions</w:t>
            </w:r>
          </w:p>
        </w:tc>
        <w:tc>
          <w:tcPr>
            <w:tcW w:w="3235" w:type="dxa"/>
          </w:tcPr>
          <w:p w14:paraId="4F3F84B4" w14:textId="51BDCFCA" w:rsidR="00BB509C" w:rsidRDefault="00BB509C" w:rsidP="00BB509C">
            <w:pPr>
              <w:pStyle w:val="ListParagraph"/>
              <w:numPr>
                <w:ilvl w:val="0"/>
                <w:numId w:val="21"/>
              </w:numPr>
              <w:spacing w:before="0" w:after="0"/>
              <w:ind w:left="144" w:hanging="144"/>
            </w:pPr>
            <w:r>
              <w:t>Included biogas emissions, BOD</w:t>
            </w:r>
            <w:r w:rsidRPr="000819CC">
              <w:rPr>
                <w:vertAlign w:val="subscript"/>
              </w:rPr>
              <w:t>5</w:t>
            </w:r>
            <w:r>
              <w:t xml:space="preserve"> emissions, and septic systems</w:t>
            </w:r>
          </w:p>
        </w:tc>
      </w:tr>
      <w:tr w:rsidR="00BB509C" w14:paraId="2CE55FDC" w14:textId="77777777" w:rsidTr="004E21F9">
        <w:trPr>
          <w:trHeight w:val="926"/>
        </w:trPr>
        <w:tc>
          <w:tcPr>
            <w:tcW w:w="2515" w:type="dxa"/>
          </w:tcPr>
          <w:p w14:paraId="158323B6" w14:textId="588FE238" w:rsidR="00BB509C" w:rsidRPr="0090295D" w:rsidRDefault="00BB509C" w:rsidP="00BB509C">
            <w:pPr>
              <w:contextualSpacing/>
              <w:rPr>
                <w:b/>
              </w:rPr>
            </w:pPr>
            <w:r w:rsidRPr="0090295D">
              <w:rPr>
                <w:b/>
              </w:rPr>
              <w:t>Potable Water</w:t>
            </w:r>
          </w:p>
        </w:tc>
        <w:tc>
          <w:tcPr>
            <w:tcW w:w="3600" w:type="dxa"/>
          </w:tcPr>
          <w:p w14:paraId="62FDB10B" w14:textId="04577C4B" w:rsidR="00BB509C" w:rsidRDefault="00BB509C" w:rsidP="00BB509C">
            <w:pPr>
              <w:pStyle w:val="ListParagraph"/>
              <w:numPr>
                <w:ilvl w:val="0"/>
                <w:numId w:val="21"/>
              </w:numPr>
              <w:spacing w:before="0" w:after="0"/>
              <w:ind w:left="144" w:hanging="144"/>
            </w:pPr>
            <w:r>
              <w:t>Included within community energy (electricity)</w:t>
            </w:r>
          </w:p>
        </w:tc>
        <w:tc>
          <w:tcPr>
            <w:tcW w:w="3235" w:type="dxa"/>
          </w:tcPr>
          <w:p w14:paraId="397DDF1E" w14:textId="1264C0C2" w:rsidR="00BB509C" w:rsidRDefault="00BB509C" w:rsidP="00BB509C">
            <w:pPr>
              <w:pStyle w:val="ListParagraph"/>
              <w:numPr>
                <w:ilvl w:val="0"/>
                <w:numId w:val="21"/>
              </w:numPr>
              <w:spacing w:before="0" w:after="0"/>
              <w:ind w:left="144" w:hanging="144"/>
            </w:pPr>
            <w:r>
              <w:t>Included within community energy, but also called out as a separate line item</w:t>
            </w:r>
          </w:p>
        </w:tc>
      </w:tr>
      <w:tr w:rsidR="00BB509C" w14:paraId="6CF824DA" w14:textId="77777777" w:rsidTr="004E21F9">
        <w:tc>
          <w:tcPr>
            <w:tcW w:w="2515" w:type="dxa"/>
          </w:tcPr>
          <w:p w14:paraId="0C4DF87A" w14:textId="75598438" w:rsidR="00BB509C" w:rsidRPr="0090295D" w:rsidRDefault="00BB509C" w:rsidP="00BB509C">
            <w:pPr>
              <w:contextualSpacing/>
              <w:rPr>
                <w:b/>
              </w:rPr>
            </w:pPr>
            <w:r w:rsidRPr="0090295D">
              <w:rPr>
                <w:b/>
              </w:rPr>
              <w:t>Agriculture</w:t>
            </w:r>
          </w:p>
        </w:tc>
        <w:tc>
          <w:tcPr>
            <w:tcW w:w="3600" w:type="dxa"/>
          </w:tcPr>
          <w:p w14:paraId="264227CE" w14:textId="10821357" w:rsidR="00BB509C" w:rsidRDefault="00BB509C" w:rsidP="00BB509C">
            <w:pPr>
              <w:pStyle w:val="ListParagraph"/>
              <w:numPr>
                <w:ilvl w:val="0"/>
                <w:numId w:val="21"/>
              </w:numPr>
              <w:spacing w:before="0" w:after="0"/>
              <w:ind w:left="144" w:hanging="144"/>
            </w:pPr>
            <w:r>
              <w:t xml:space="preserve">Enteric and manure emission factors </w:t>
            </w:r>
            <w:sdt>
              <w:sdtPr>
                <w:id w:val="-1078048245"/>
                <w:citation/>
              </w:sdtPr>
              <w:sdtContent>
                <w:r>
                  <w:fldChar w:fldCharType="begin"/>
                </w:r>
                <w:r>
                  <w:instrText xml:space="preserve">CITATION USE17 \l 1033 </w:instrText>
                </w:r>
                <w:r>
                  <w:fldChar w:fldCharType="separate"/>
                </w:r>
                <w:r>
                  <w:rPr>
                    <w:noProof/>
                  </w:rPr>
                  <w:t>(U.S. Environmental Protection Agency, 2015)</w:t>
                </w:r>
                <w:r>
                  <w:fldChar w:fldCharType="end"/>
                </w:r>
              </w:sdtContent>
            </w:sdt>
            <w:r>
              <w:t xml:space="preserve"> and number of animals </w:t>
            </w:r>
            <w:sdt>
              <w:sdtPr>
                <w:id w:val="1948494470"/>
                <w:citation/>
              </w:sdtPr>
              <w:sdtContent>
                <w:r>
                  <w:fldChar w:fldCharType="begin"/>
                </w:r>
                <w:r>
                  <w:instrText xml:space="preserve"> CITATION USD14 \l 1033 </w:instrText>
                </w:r>
                <w:r>
                  <w:fldChar w:fldCharType="separate"/>
                </w:r>
                <w:r>
                  <w:rPr>
                    <w:noProof/>
                  </w:rPr>
                  <w:t>(U.S. Department of Agriculture, 2014)</w:t>
                </w:r>
                <w:r>
                  <w:fldChar w:fldCharType="end"/>
                </w:r>
              </w:sdtContent>
            </w:sdt>
          </w:p>
        </w:tc>
        <w:tc>
          <w:tcPr>
            <w:tcW w:w="3235" w:type="dxa"/>
          </w:tcPr>
          <w:p w14:paraId="52FDC840" w14:textId="77A2E855" w:rsidR="00BB509C" w:rsidRDefault="00BB509C" w:rsidP="00BB509C">
            <w:pPr>
              <w:pStyle w:val="ListParagraph"/>
              <w:numPr>
                <w:ilvl w:val="0"/>
                <w:numId w:val="21"/>
              </w:numPr>
              <w:spacing w:before="0" w:after="0"/>
              <w:ind w:left="144" w:hanging="144"/>
            </w:pPr>
            <w:r>
              <w:t xml:space="preserve">Updated enteric emission factors </w:t>
            </w:r>
            <w:sdt>
              <w:sdtPr>
                <w:id w:val="-1597783593"/>
                <w:citation/>
              </w:sdtPr>
              <w:sdtContent>
                <w:r>
                  <w:fldChar w:fldCharType="begin"/>
                </w:r>
                <w:r>
                  <w:instrText xml:space="preserve">CITATION USE17 \l 1033 </w:instrText>
                </w:r>
                <w:r>
                  <w:fldChar w:fldCharType="separate"/>
                </w:r>
                <w:r>
                  <w:rPr>
                    <w:noProof/>
                  </w:rPr>
                  <w:t>(U.S. Environmental Protection Agency, 2015)</w:t>
                </w:r>
                <w:r>
                  <w:fldChar w:fldCharType="end"/>
                </w:r>
              </w:sdtContent>
            </w:sdt>
          </w:p>
        </w:tc>
      </w:tr>
      <w:tr w:rsidR="00BB509C" w14:paraId="0A2B844C" w14:textId="77777777" w:rsidTr="004E21F9">
        <w:tc>
          <w:tcPr>
            <w:tcW w:w="2515" w:type="dxa"/>
          </w:tcPr>
          <w:p w14:paraId="769B4C37" w14:textId="515CA88F" w:rsidR="00BB509C" w:rsidRPr="0090295D" w:rsidRDefault="00BB509C" w:rsidP="00BB509C">
            <w:pPr>
              <w:contextualSpacing/>
              <w:rPr>
                <w:b/>
              </w:rPr>
            </w:pPr>
            <w:r w:rsidRPr="0090295D">
              <w:rPr>
                <w:b/>
              </w:rPr>
              <w:t>Land Use Change</w:t>
            </w:r>
          </w:p>
        </w:tc>
        <w:tc>
          <w:tcPr>
            <w:tcW w:w="3600" w:type="dxa"/>
          </w:tcPr>
          <w:p w14:paraId="32567ECF" w14:textId="6A82E53E" w:rsidR="00BB509C" w:rsidRDefault="00BB509C" w:rsidP="00BB509C">
            <w:pPr>
              <w:pStyle w:val="ListParagraph"/>
              <w:numPr>
                <w:ilvl w:val="0"/>
                <w:numId w:val="21"/>
              </w:numPr>
              <w:spacing w:before="0" w:after="0"/>
              <w:ind w:left="144" w:hanging="144"/>
            </w:pPr>
            <w:r>
              <w:t xml:space="preserve">Permit data </w:t>
            </w:r>
            <w:sdt>
              <w:sdtPr>
                <w:id w:val="1200292822"/>
                <w:citation/>
              </w:sdtPr>
              <w:sdtContent>
                <w:r>
                  <w:fldChar w:fldCharType="begin"/>
                </w:r>
                <w:r>
                  <w:instrText xml:space="preserve"> CITATION Kin17 \l 1033 </w:instrText>
                </w:r>
                <w:r>
                  <w:fldChar w:fldCharType="separate"/>
                </w:r>
                <w:r>
                  <w:rPr>
                    <w:noProof/>
                  </w:rPr>
                  <w:t>(King County, 2017)</w:t>
                </w:r>
                <w:r>
                  <w:fldChar w:fldCharType="end"/>
                </w:r>
              </w:sdtContent>
            </w:sdt>
          </w:p>
          <w:p w14:paraId="3EC7DD41" w14:textId="71F24F67" w:rsidR="00BB509C" w:rsidRDefault="00BB509C" w:rsidP="00BB509C">
            <w:pPr>
              <w:pStyle w:val="ListParagraph"/>
              <w:numPr>
                <w:ilvl w:val="0"/>
                <w:numId w:val="21"/>
              </w:numPr>
              <w:spacing w:before="0" w:after="0"/>
              <w:ind w:left="144" w:hanging="144"/>
            </w:pPr>
            <w:r>
              <w:t>Carbon storage assumptions</w:t>
            </w:r>
          </w:p>
        </w:tc>
        <w:tc>
          <w:tcPr>
            <w:tcW w:w="3235" w:type="dxa"/>
          </w:tcPr>
          <w:p w14:paraId="147FE972" w14:textId="2E60144D" w:rsidR="00BB509C" w:rsidRDefault="00BB509C" w:rsidP="00BB509C">
            <w:pPr>
              <w:pStyle w:val="ListParagraph"/>
              <w:numPr>
                <w:ilvl w:val="0"/>
                <w:numId w:val="21"/>
              </w:numPr>
              <w:spacing w:before="0" w:after="0"/>
              <w:ind w:left="144" w:hanging="144"/>
            </w:pPr>
            <w:r>
              <w:t>No change</w:t>
            </w:r>
          </w:p>
        </w:tc>
      </w:tr>
    </w:tbl>
    <w:p w14:paraId="0ED5CC14" w14:textId="03A9507E" w:rsidR="000F5CA0" w:rsidRDefault="000F5CA0" w:rsidP="00110790">
      <w:pPr>
        <w:pStyle w:val="Heading3"/>
      </w:pPr>
      <w:r>
        <w:t>Transportation</w:t>
      </w:r>
      <w:r w:rsidR="00EF45CF">
        <w:t xml:space="preserve"> (</w:t>
      </w:r>
      <w:commentRangeStart w:id="51"/>
      <w:r w:rsidR="00EF45CF">
        <w:t>Road</w:t>
      </w:r>
      <w:commentRangeEnd w:id="51"/>
      <w:r w:rsidR="00DA3D59">
        <w:rPr>
          <w:rStyle w:val="CommentReference"/>
          <w:b w:val="0"/>
          <w:caps w:val="0"/>
          <w:color w:val="auto"/>
          <w:spacing w:val="0"/>
        </w:rPr>
        <w:commentReference w:id="51"/>
      </w:r>
      <w:r w:rsidR="00CC6EFE">
        <w:t>)</w:t>
      </w:r>
    </w:p>
    <w:p w14:paraId="462CB7A2" w14:textId="0A65AF02" w:rsidR="00A872EE" w:rsidRDefault="00AC63A5" w:rsidP="000F5CA0">
      <w:r>
        <w:t xml:space="preserve">On-road passenger vehicle and freight emissions were calculated by the Puget Sound Regional Council (PSRC). PSRC </w:t>
      </w:r>
      <w:r w:rsidR="00A872EE">
        <w:t>applied</w:t>
      </w:r>
      <w:r w:rsidR="00CC6EFE">
        <w:t xml:space="preserve"> </w:t>
      </w:r>
      <w:r w:rsidR="00A872EE">
        <w:t>its activity-based travel model</w:t>
      </w:r>
      <w:r w:rsidR="000F5CA0">
        <w:t xml:space="preserve"> </w:t>
      </w:r>
      <w:r w:rsidR="00A872EE">
        <w:t>data to</w:t>
      </w:r>
      <w:r w:rsidR="00311849">
        <w:t xml:space="preserve"> </w:t>
      </w:r>
      <w:r w:rsidR="00B0124A">
        <w:t xml:space="preserve">the </w:t>
      </w:r>
      <w:r w:rsidR="00311849">
        <w:t>EPA</w:t>
      </w:r>
      <w:r w:rsidR="00B0124A">
        <w:t>’s</w:t>
      </w:r>
      <w:r w:rsidR="00311849">
        <w:t xml:space="preserve"> </w:t>
      </w:r>
      <w:r w:rsidR="00B0124A">
        <w:t>Motor Vehicle Emission Simulator</w:t>
      </w:r>
      <w:r w:rsidR="00B0124A">
        <w:t xml:space="preserve"> (</w:t>
      </w:r>
      <w:r w:rsidR="00311849">
        <w:t>MOVES</w:t>
      </w:r>
      <w:r w:rsidR="00B0124A">
        <w:t>)</w:t>
      </w:r>
      <w:r w:rsidR="00311849">
        <w:t xml:space="preserve"> model</w:t>
      </w:r>
      <w:r w:rsidR="00CC6EFE">
        <w:t xml:space="preserve"> </w:t>
      </w:r>
      <w:r w:rsidR="00BA5D53">
        <w:t>to arrive at emissions estimations by vehicle type</w:t>
      </w:r>
      <w:r w:rsidR="00CC6EFE">
        <w:t>.</w:t>
      </w:r>
      <w:r w:rsidR="00A872EE">
        <w:t xml:space="preserve"> </w:t>
      </w:r>
    </w:p>
    <w:p w14:paraId="5460EB1D" w14:textId="5963C01D" w:rsidR="00A872EE" w:rsidRDefault="00A872EE" w:rsidP="000F5CA0">
      <w:r>
        <w:t xml:space="preserve">PSRC’s activity-based travel model produces vehicle miles traveled (VMT), facility type, and speed estimates for time periods within a typical workday in King County. VMT outputs were provided by vehicle type for passenger vehicles (further allocated to single occupancy vehicle, HOV2, and HOV3), buses, medium trucks, and heavy trucks. At the time of this inventory, </w:t>
      </w:r>
      <w:r w:rsidR="00D45961">
        <w:t>PSRC had developed and calibrated this model for analysis years 2006, 2014, and 2016.</w:t>
      </w:r>
    </w:p>
    <w:p w14:paraId="17A6D98C" w14:textId="6EFB1E7C" w:rsidR="00B0124A" w:rsidRDefault="00B0124A" w:rsidP="000F5CA0">
      <w:r>
        <w:t>MOVES estimates from cars, trucks, and non-highway mobile sources under user-defined vehicle types, time periods, geographic areas, vehicle operating characteristics, and road types</w:t>
      </w:r>
      <w:r w:rsidR="00FA6980">
        <w:t xml:space="preserve">. </w:t>
      </w:r>
      <w:r>
        <w:t xml:space="preserve">The model simulates emissions for various vehicle operating processes, such as running, starts, or hoteling. PSRC’s use of the model was run using California LEV II standards, which were adopted by the State of Washington beginning with 2009 model year vehicles. PSRC also used County-specific input files provided by the </w:t>
      </w:r>
      <w:r>
        <w:lastRenderedPageBreak/>
        <w:t>Washington Department of Ecology that reflect the climate, vehicle mix, and inspection and maintenance requirements specific to each county.</w:t>
      </w:r>
    </w:p>
    <w:p w14:paraId="1328D8E9" w14:textId="64E362AA" w:rsidR="00B0124A" w:rsidRDefault="00B0124A" w:rsidP="000F5CA0">
      <w:r>
        <w:t>Because the PSRC model was only run for 2006, 2014, and 2016, PSRC linearly interpolated</w:t>
      </w:r>
      <w:r w:rsidR="001010E5">
        <w:t xml:space="preserve"> </w:t>
      </w:r>
      <w:r>
        <w:t>results from mod</w:t>
      </w:r>
      <w:r w:rsidR="001010E5">
        <w:t xml:space="preserve">eled years to estimate </w:t>
      </w:r>
      <w:r>
        <w:t>2008</w:t>
      </w:r>
      <w:r w:rsidR="001010E5">
        <w:t xml:space="preserve"> </w:t>
      </w:r>
      <w:r>
        <w:t xml:space="preserve">and 2015 emissions. </w:t>
      </w:r>
      <w:r w:rsidR="001010E5">
        <w:t xml:space="preserve">To arrive at 2003 emissions estimates, we used regression analysis to estimate 2003 VMT by vehicle type, and then scaled 2008 running and start emissions by the </w:t>
      </w:r>
      <w:r w:rsidR="001010E5">
        <w:t xml:space="preserve">of </w:t>
      </w:r>
      <w:r w:rsidR="001010E5">
        <w:t xml:space="preserve">ratio of 2003 to </w:t>
      </w:r>
      <w:r w:rsidR="001010E5">
        <w:t>2008 VMT</w:t>
      </w:r>
      <w:r w:rsidR="001010E5">
        <w:t>.</w:t>
      </w:r>
    </w:p>
    <w:p w14:paraId="62F8131B" w14:textId="2786D08E" w:rsidR="00DA6FB5" w:rsidRPr="000F5CA0" w:rsidRDefault="00513EB0" w:rsidP="000F5CA0">
      <w:r w:rsidRPr="00B0124A">
        <w:t xml:space="preserve">Transit fuel use for Metro and Sound Transit were </w:t>
      </w:r>
      <w:r w:rsidR="00B0124A">
        <w:t xml:space="preserve">multiplied by </w:t>
      </w:r>
      <w:r w:rsidR="001010E5">
        <w:t xml:space="preserve">standard fuel emissions factors from the EPA to </w:t>
      </w:r>
      <w:r w:rsidRPr="00B0124A">
        <w:t>derive transit emissions.</w:t>
      </w:r>
      <w:r w:rsidR="00CC6EFE">
        <w:t xml:space="preserve"> </w:t>
      </w:r>
    </w:p>
    <w:p w14:paraId="2BDE88EE" w14:textId="37C9C19C" w:rsidR="00CC6EFE" w:rsidRDefault="00EF45CF" w:rsidP="00110790">
      <w:pPr>
        <w:pStyle w:val="Heading3"/>
      </w:pPr>
      <w:commentRangeStart w:id="52"/>
      <w:r>
        <w:t>Transportation (A</w:t>
      </w:r>
      <w:r w:rsidR="00CC6EFE">
        <w:t>ir)</w:t>
      </w:r>
      <w:commentRangeEnd w:id="52"/>
      <w:r w:rsidR="001B3C84">
        <w:rPr>
          <w:rStyle w:val="CommentReference"/>
          <w:b w:val="0"/>
          <w:caps w:val="0"/>
          <w:color w:val="auto"/>
          <w:spacing w:val="0"/>
        </w:rPr>
        <w:commentReference w:id="52"/>
      </w:r>
    </w:p>
    <w:p w14:paraId="4ED1F248" w14:textId="792E140E" w:rsidR="00CA4EC7" w:rsidRPr="00CA4EC7" w:rsidRDefault="00CA4EC7" w:rsidP="00CA4EC7">
      <w:r w:rsidRPr="00CA4EC7">
        <w:t xml:space="preserve">Emissions associated with air travel were calculated for jet fuel use and, if available, for ground support equipment. Because ground support equipment is classified as “commercial equipment,” its emissions are </w:t>
      </w:r>
      <w:r w:rsidR="003028E1">
        <w:t>included in the non-road equipment section of the inventory</w:t>
      </w:r>
      <w:r w:rsidRPr="00CA4EC7">
        <w:t xml:space="preserve">. </w:t>
      </w:r>
    </w:p>
    <w:p w14:paraId="66343908" w14:textId="41EACEFB" w:rsidR="00CA4EC7" w:rsidRDefault="00CA4EC7" w:rsidP="00CA4EC7">
      <w:r w:rsidRPr="00CA4EC7">
        <w:t xml:space="preserve">For </w:t>
      </w:r>
      <w:r w:rsidRPr="00CA4EC7">
        <w:rPr>
          <w:bCs/>
        </w:rPr>
        <w:t xml:space="preserve">Boeing Field </w:t>
      </w:r>
      <w:r w:rsidRPr="00CA4EC7">
        <w:t>(King County International Airport)</w:t>
      </w:r>
      <w:r w:rsidR="003028E1">
        <w:t xml:space="preserve"> and SeaTac Airport</w:t>
      </w:r>
      <w:r w:rsidR="00256E55">
        <w:t>,</w:t>
      </w:r>
      <w:r w:rsidRPr="00CA4EC7">
        <w:t xml:space="preserve"> we obtained data for aviation and jet fuel dispensed on site in 2015. </w:t>
      </w:r>
      <w:r w:rsidR="00256E55">
        <w:t xml:space="preserve">We then applied a standard fraction of that fuel </w:t>
      </w:r>
      <w:r w:rsidR="003028E1">
        <w:t xml:space="preserve">towards King County’s share of </w:t>
      </w:r>
      <w:r w:rsidR="00256E55">
        <w:t xml:space="preserve">emissions. This fraction—the proportion of fuel consumed in landing and takeoff (LTO)—is </w:t>
      </w:r>
      <w:r w:rsidR="003028E1">
        <w:t>estimated</w:t>
      </w:r>
      <w:r w:rsidR="00256E55">
        <w:t xml:space="preserve"> </w:t>
      </w:r>
      <w:r w:rsidR="002455BB">
        <w:t xml:space="preserve">at </w:t>
      </w:r>
      <w:r w:rsidR="00256E55">
        <w:t xml:space="preserve">10% </w:t>
      </w:r>
      <w:sdt>
        <w:sdtPr>
          <w:id w:val="-1885702923"/>
          <w:citation/>
        </w:sdtPr>
        <w:sdtContent>
          <w:r w:rsidR="00256E55">
            <w:fldChar w:fldCharType="begin"/>
          </w:r>
          <w:r w:rsidR="00256E55">
            <w:instrText xml:space="preserve"> CITATION Ryp01 \l 1033 </w:instrText>
          </w:r>
          <w:r w:rsidR="00256E55">
            <w:fldChar w:fldCharType="separate"/>
          </w:r>
          <w:r w:rsidR="00256E55">
            <w:rPr>
              <w:noProof/>
            </w:rPr>
            <w:t>(Rypdal, 2001)</w:t>
          </w:r>
          <w:r w:rsidR="00256E55">
            <w:fldChar w:fldCharType="end"/>
          </w:r>
        </w:sdtContent>
      </w:sdt>
      <w:r w:rsidR="00256E55">
        <w:t xml:space="preserve">. </w:t>
      </w:r>
      <w:r w:rsidRPr="00CA4EC7">
        <w:t xml:space="preserve">We applied emissions factors from the U.S. EPA Inventory of Greenhouse Gas Emissions and Sinks report </w:t>
      </w:r>
      <w:r w:rsidRPr="00CA4EC7">
        <w:rPr>
          <w:noProof/>
        </w:rPr>
        <w:t>(U.S. Environmental Protection Agency, 2017)</w:t>
      </w:r>
      <w:r w:rsidRPr="00CA4EC7">
        <w:t>.</w:t>
      </w:r>
    </w:p>
    <w:p w14:paraId="10C9BA8D" w14:textId="5B4552AE" w:rsidR="000C2184" w:rsidRDefault="003028E1" w:rsidP="00CA4EC7">
      <w:r>
        <w:t>For SeaTac airport,</w:t>
      </w:r>
      <w:r w:rsidR="00256E55">
        <w:t xml:space="preserve"> greenhouse gas emissions</w:t>
      </w:r>
      <w:r>
        <w:t xml:space="preserve"> estimates</w:t>
      </w:r>
      <w:r w:rsidR="00256E55">
        <w:t xml:space="preserve"> </w:t>
      </w:r>
      <w:r>
        <w:t xml:space="preserve">are also available </w:t>
      </w:r>
      <w:r w:rsidR="00256E55">
        <w:t>directly from the airport’s 2015 air quality criteria pollutant emissions inventory, which uses the Federal Aviation Administration’s EDMS model version 5.1.4.1.</w:t>
      </w:r>
      <w:r w:rsidR="00ED08CB">
        <w:t xml:space="preserve"> </w:t>
      </w:r>
      <w:r>
        <w:t xml:space="preserve">However, due to limited availability of model outputs prior to 2015, we did not use these data. </w:t>
      </w:r>
    </w:p>
    <w:p w14:paraId="0689C55B" w14:textId="462FD48C" w:rsidR="000C2184" w:rsidRPr="00CA4EC7" w:rsidRDefault="000C2184" w:rsidP="00CA4EC7">
      <w:r>
        <w:rPr>
          <w:noProof/>
        </w:rPr>
        <w:lastRenderedPageBreak/>
        <mc:AlternateContent>
          <mc:Choice Requires="wps">
            <w:drawing>
              <wp:inline distT="0" distB="0" distL="0" distR="0" wp14:anchorId="5DAF8BF7" wp14:editId="17A1A8BD">
                <wp:extent cx="5918200" cy="1404620"/>
                <wp:effectExtent l="0" t="0" r="25400" b="1143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4620"/>
                        </a:xfrm>
                        <a:prstGeom prst="rect">
                          <a:avLst/>
                        </a:prstGeom>
                        <a:solidFill>
                          <a:srgbClr val="FFFFFF"/>
                        </a:solidFill>
                        <a:ln w="9525">
                          <a:solidFill>
                            <a:srgbClr val="000000"/>
                          </a:solidFill>
                          <a:miter lim="800000"/>
                          <a:headEnd/>
                          <a:tailEnd/>
                        </a:ln>
                      </wps:spPr>
                      <wps:txbx>
                        <w:txbxContent>
                          <w:p w14:paraId="6ECB60CF" w14:textId="3E6F9F16" w:rsidR="00B9756F" w:rsidRPr="000C2184" w:rsidRDefault="00B9756F">
                            <w:pPr>
                              <w:rPr>
                                <w:b/>
                              </w:rPr>
                            </w:pPr>
                            <w:r w:rsidRPr="000C2184">
                              <w:rPr>
                                <w:b/>
                              </w:rPr>
                              <w:t>Consumption-based Air Travel Emissions</w:t>
                            </w:r>
                          </w:p>
                          <w:p w14:paraId="298708A6" w14:textId="3397A41B" w:rsidR="00B9756F" w:rsidRDefault="00B9756F">
                            <w:r>
                              <w:t xml:space="preserve">Previous King County geographic-plus inventories accounted for all jet fuel use by King County residents and business travelers through SeaTac airport, regardless of whether the fuel was combusted within King County or outside its air space. To be consistent with the calculation approach used for other transportation modes (e.g., on-road vehicles, marine vessels), we calculated air travel emissions in this section as the total emissions resulting from jet fuel burned during landing and takeoff (LTO) for all planes flying into and out of SeaTac airport (regardless of who was traveling). </w:t>
                            </w:r>
                          </w:p>
                          <w:p w14:paraId="186038CC" w14:textId="6C1037C6" w:rsidR="00B9756F" w:rsidRDefault="00B9756F">
                            <w:r>
                              <w:t>The previous methodology—which takes more of a consumption-based approach to quantifying air travel emissions—was also employed and is summarized in the Consumption-based Inventory section of this report. For that calculation,</w:t>
                            </w:r>
                            <w:r w:rsidRPr="00CA4EC7">
                              <w:t xml:space="preserve"> we allocated </w:t>
                            </w:r>
                            <w:proofErr w:type="spellStart"/>
                            <w:r w:rsidRPr="00CA4EC7">
                              <w:t>airshed</w:t>
                            </w:r>
                            <w:proofErr w:type="spellEnd"/>
                            <w:r w:rsidRPr="00CA4EC7">
                              <w:t xml:space="preserve"> emissions fractions to individual counties based on respective popula</w:t>
                            </w:r>
                            <w:r>
                              <w:t>tion and employment statistics. This means that</w:t>
                            </w:r>
                            <w:r w:rsidRPr="00CA4EC7">
                              <w:t xml:space="preserve"> counties with more residents and business travelers are assigned a greater proportion of travel-related emissions</w:t>
                            </w:r>
                            <w:r>
                              <w:t xml:space="preserve"> at SeaTac airport</w:t>
                            </w:r>
                            <w:r w:rsidRPr="00CA4EC7">
                              <w:t>. We obtained jet f</w:t>
                            </w:r>
                            <w:r>
                              <w:t>uel supplied at SeaTac for 2015, and</w:t>
                            </w:r>
                            <w:r w:rsidRPr="00CA4EC7">
                              <w:t xml:space="preserve"> then applied emissions factors from the U.S. EPA Inventory of Greenhouse Gas Emissions and Sinks </w:t>
                            </w:r>
                            <w:sdt>
                              <w:sdtPr>
                                <w:id w:val="-1710718493"/>
                                <w:citation/>
                              </w:sdtPr>
                              <w:sdtContent>
                                <w:r w:rsidRPr="00CA4EC7">
                                  <w:fldChar w:fldCharType="begin"/>
                                </w:r>
                                <w:r>
                                  <w:instrText xml:space="preserve">CITATION USE17 \l 1033 </w:instrText>
                                </w:r>
                                <w:r w:rsidRPr="00CA4EC7">
                                  <w:fldChar w:fldCharType="separate"/>
                                </w:r>
                                <w:r>
                                  <w:rPr>
                                    <w:noProof/>
                                  </w:rPr>
                                  <w:t>(U.S. Environmental Protection Agency, 2015)</w:t>
                                </w:r>
                                <w:r w:rsidRPr="00CA4EC7">
                                  <w:fldChar w:fldCharType="end"/>
                                </w:r>
                              </w:sdtContent>
                            </w:sdt>
                            <w:r>
                              <w:t xml:space="preserve"> to arrive at King County air travel emissions associated with SeaTac airport.</w:t>
                            </w:r>
                          </w:p>
                        </w:txbxContent>
                      </wps:txbx>
                      <wps:bodyPr rot="0" vert="horz" wrap="square" lIns="91440" tIns="45720" rIns="91440" bIns="45720" anchor="t" anchorCtr="0">
                        <a:spAutoFit/>
                      </wps:bodyPr>
                    </wps:wsp>
                  </a:graphicData>
                </a:graphic>
              </wp:inline>
            </w:drawing>
          </mc:Choice>
          <mc:Fallback>
            <w:pict>
              <v:shape w14:anchorId="5DAF8BF7" id="_x0000_s1027" type="#_x0000_t202" style="width:46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">
                <v:textbox style="mso-fit-shape-to-text:t">
                  <w:txbxContent>
                    <w:p w14:paraId="6ECB60CF" w14:textId="3E6F9F16" w:rsidR="00B9756F" w:rsidRPr="000C2184" w:rsidRDefault="00B9756F">
                      <w:pPr>
                        <w:rPr>
                          <w:b/>
                        </w:rPr>
                      </w:pPr>
                      <w:r w:rsidRPr="000C2184">
                        <w:rPr>
                          <w:b/>
                        </w:rPr>
                        <w:t>Consumption-based Air Travel Emissions</w:t>
                      </w:r>
                    </w:p>
                    <w:p w14:paraId="298708A6" w14:textId="3397A41B" w:rsidR="00B9756F" w:rsidRDefault="00B9756F">
                      <w:r>
                        <w:t xml:space="preserve">Previous King County geographic-plus inventories accounted for all jet fuel use by King County residents and business travelers through SeaTac airport, regardless of whether the fuel was combusted within King County or outside its air space. To be consistent with the calculation approach used for other transportation modes (e.g., on-road vehicles, marine vessels), we calculated air travel emissions in this section as the total emissions resulting from jet fuel burned during landing and takeoff (LTO) for all planes flying into and out of SeaTac airport (regardless of who was traveling). </w:t>
                      </w:r>
                    </w:p>
                    <w:p w14:paraId="186038CC" w14:textId="6C1037C6" w:rsidR="00B9756F" w:rsidRDefault="00B9756F">
                      <w:r>
                        <w:t>The previous methodology—which takes more of a consumption-based approach to quantifying air travel emissions—was also employed and is summarized in the Consumption-based Inventory section of this report. For that calculation,</w:t>
                      </w:r>
                      <w:r w:rsidRPr="00CA4EC7">
                        <w:t xml:space="preserve"> we allocated </w:t>
                      </w:r>
                      <w:proofErr w:type="spellStart"/>
                      <w:r w:rsidRPr="00CA4EC7">
                        <w:t>airshed</w:t>
                      </w:r>
                      <w:proofErr w:type="spellEnd"/>
                      <w:r w:rsidRPr="00CA4EC7">
                        <w:t xml:space="preserve"> emissions fractions to individual counties based on respective popula</w:t>
                      </w:r>
                      <w:r>
                        <w:t>tion and employment statistics. This means that</w:t>
                      </w:r>
                      <w:r w:rsidRPr="00CA4EC7">
                        <w:t xml:space="preserve"> counties with more residents and business travelers are assigned a greater proportion of travel-related emissions</w:t>
                      </w:r>
                      <w:r>
                        <w:t xml:space="preserve"> at SeaTac airport</w:t>
                      </w:r>
                      <w:r w:rsidRPr="00CA4EC7">
                        <w:t>. We obtained jet f</w:t>
                      </w:r>
                      <w:r>
                        <w:t>uel supplied at SeaTac for 2015, and</w:t>
                      </w:r>
                      <w:r w:rsidRPr="00CA4EC7">
                        <w:t xml:space="preserve"> then applied emissions factors from the U.S. EPA Inventory of Greenhouse Gas Emissions and Sinks </w:t>
                      </w:r>
                      <w:sdt>
                        <w:sdtPr>
                          <w:id w:val="-1710718493"/>
                          <w:citation/>
                        </w:sdtPr>
                        <w:sdtContent>
                          <w:r w:rsidRPr="00CA4EC7">
                            <w:fldChar w:fldCharType="begin"/>
                          </w:r>
                          <w:r>
                            <w:instrText xml:space="preserve">CITATION USE17 \l 1033 </w:instrText>
                          </w:r>
                          <w:r w:rsidRPr="00CA4EC7">
                            <w:fldChar w:fldCharType="separate"/>
                          </w:r>
                          <w:r>
                            <w:rPr>
                              <w:noProof/>
                            </w:rPr>
                            <w:t>(U.S. Environmental Protection Agency, 2015)</w:t>
                          </w:r>
                          <w:r w:rsidRPr="00CA4EC7">
                            <w:fldChar w:fldCharType="end"/>
                          </w:r>
                        </w:sdtContent>
                      </w:sdt>
                      <w:r>
                        <w:t xml:space="preserve"> to arrive at King County air travel emissions associated with SeaTac airport.</w:t>
                      </w:r>
                    </w:p>
                  </w:txbxContent>
                </v:textbox>
                <w10:anchorlock/>
              </v:shape>
            </w:pict>
          </mc:Fallback>
        </mc:AlternateContent>
      </w:r>
    </w:p>
    <w:p w14:paraId="5775CA06" w14:textId="045613AB" w:rsidR="00CC6EFE" w:rsidRDefault="00EF45CF" w:rsidP="00110790">
      <w:pPr>
        <w:pStyle w:val="Heading3"/>
      </w:pPr>
      <w:r>
        <w:t>Transportation (R</w:t>
      </w:r>
      <w:r w:rsidR="00CC6EFE">
        <w:t>ail)</w:t>
      </w:r>
    </w:p>
    <w:p w14:paraId="628A13E0" w14:textId="11428EC1" w:rsidR="00A36776" w:rsidRPr="00A36776" w:rsidRDefault="00A36776" w:rsidP="00A36776">
      <w:r>
        <w:t xml:space="preserve">We used the PSCAA 2011 </w:t>
      </w:r>
      <w:r w:rsidR="0090295D">
        <w:t>M</w:t>
      </w:r>
      <w:r>
        <w:t xml:space="preserve">aritime </w:t>
      </w:r>
      <w:r w:rsidR="0090295D">
        <w:t>Air E</w:t>
      </w:r>
      <w:r>
        <w:t xml:space="preserve">missions report </w:t>
      </w:r>
      <w:sdt>
        <w:sdtPr>
          <w:id w:val="-489948691"/>
          <w:citation/>
        </w:sdtPr>
        <w:sdtContent>
          <w:r w:rsidR="002C3691">
            <w:fldChar w:fldCharType="begin"/>
          </w:r>
          <w:r w:rsidR="002C3691">
            <w:instrText xml:space="preserve"> CITATION Pug12 \l 1033 </w:instrText>
          </w:r>
          <w:r w:rsidR="002C3691">
            <w:fldChar w:fldCharType="separate"/>
          </w:r>
          <w:r w:rsidR="0040248B">
            <w:rPr>
              <w:noProof/>
            </w:rPr>
            <w:t>(Puget Sound Clean Air Agency, 2012)</w:t>
          </w:r>
          <w:r w:rsidR="002C3691">
            <w:fldChar w:fldCharType="end"/>
          </w:r>
        </w:sdtContent>
      </w:sdt>
      <w:r w:rsidR="002C3691">
        <w:t xml:space="preserve"> </w:t>
      </w:r>
      <w:r>
        <w:t>and scaled by 2015 tonnage to determine emissions from freight.</w:t>
      </w:r>
      <w:r w:rsidR="00E90D69">
        <w:t xml:space="preserve"> </w:t>
      </w:r>
      <w:r w:rsidR="00FB095C">
        <w:t xml:space="preserve">The Port of Seattle reports rail emissions to the PSCAA, which then breaks down emissions by county in this report. </w:t>
      </w:r>
      <w:r>
        <w:t>This methodology reflects that used in 2003 and 2008.</w:t>
      </w:r>
      <w:r w:rsidR="00DA6FB5">
        <w:t xml:space="preserve"> This estimate may attribute marginally more greenhouse gas emissions to freight because scaling older dat</w:t>
      </w:r>
      <w:r w:rsidR="00183606">
        <w:t>a fails to account for emission-</w:t>
      </w:r>
      <w:r w:rsidR="00DA6FB5">
        <w:t>reducing technological improvements.</w:t>
      </w:r>
    </w:p>
    <w:p w14:paraId="0F9CA0B4" w14:textId="3A87770F" w:rsidR="00A36776" w:rsidRDefault="00EF45CF" w:rsidP="00A36776">
      <w:pPr>
        <w:pStyle w:val="Heading3"/>
      </w:pPr>
      <w:r>
        <w:t>Buildings and Industry (E</w:t>
      </w:r>
      <w:r w:rsidR="00A36776">
        <w:t>lectricity)</w:t>
      </w:r>
    </w:p>
    <w:p w14:paraId="6DF84D2C" w14:textId="77777777" w:rsidR="005442A5" w:rsidRDefault="0069520B" w:rsidP="00A36776">
      <w:r>
        <w:t xml:space="preserve">Previously, electric utility emissions factors </w:t>
      </w:r>
      <w:r w:rsidR="00EF618A">
        <w:t>used</w:t>
      </w:r>
      <w:r>
        <w:t xml:space="preserve"> the fuel mix report for the appropriate year. </w:t>
      </w:r>
      <w:r w:rsidR="00DA6FB5">
        <w:t>Washington State Department of Commerce requires an annual fuel-mix report from all public electrical utilities.</w:t>
      </w:r>
      <w:r w:rsidR="00E90D69">
        <w:t xml:space="preserve"> </w:t>
      </w:r>
      <w:r w:rsidR="00EF618A">
        <w:t>The new inventory</w:t>
      </w:r>
      <w:r>
        <w:t xml:space="preserve"> used the </w:t>
      </w:r>
      <w:r w:rsidR="00DA6FB5">
        <w:t xml:space="preserve">2015 </w:t>
      </w:r>
      <w:r>
        <w:t xml:space="preserve">fuel mix report </w:t>
      </w:r>
      <w:sdt>
        <w:sdtPr>
          <w:id w:val="-906915447"/>
          <w:citation/>
        </w:sdtPr>
        <w:sdtContent>
          <w:r w:rsidR="00AD4610">
            <w:fldChar w:fldCharType="begin"/>
          </w:r>
          <w:r w:rsidR="00AD4610">
            <w:instrText xml:space="preserve"> CITATION Was15 \l 1033 </w:instrText>
          </w:r>
          <w:r w:rsidR="00AD4610">
            <w:fldChar w:fldCharType="separate"/>
          </w:r>
          <w:r w:rsidR="0040248B">
            <w:rPr>
              <w:noProof/>
            </w:rPr>
            <w:t>(Washington State Department of Commerce, 2015)</w:t>
          </w:r>
          <w:r w:rsidR="00AD4610">
            <w:fldChar w:fldCharType="end"/>
          </w:r>
        </w:sdtContent>
      </w:sdt>
      <w:r w:rsidR="00AD4610">
        <w:t xml:space="preserve"> </w:t>
      </w:r>
      <w:r>
        <w:t>to determine PSE’s emission factor, but also include</w:t>
      </w:r>
      <w:r w:rsidR="00D5158C">
        <w:t>d</w:t>
      </w:r>
      <w:r>
        <w:t xml:space="preserve"> CH</w:t>
      </w:r>
      <w:r w:rsidRPr="0069520B">
        <w:rPr>
          <w:vertAlign w:val="subscript"/>
        </w:rPr>
        <w:t>4</w:t>
      </w:r>
      <w:r>
        <w:t xml:space="preserve"> and N</w:t>
      </w:r>
      <w:r w:rsidRPr="0069520B">
        <w:rPr>
          <w:vertAlign w:val="subscript"/>
        </w:rPr>
        <w:t>2</w:t>
      </w:r>
      <w:r>
        <w:t xml:space="preserve">O, which had not previously been included. </w:t>
      </w:r>
      <w:r w:rsidR="00EF618A">
        <w:t>The new inventory</w:t>
      </w:r>
      <w:r>
        <w:t xml:space="preserve"> retroactively updated previous emission factors to include these gases. </w:t>
      </w:r>
    </w:p>
    <w:p w14:paraId="10BC62DB" w14:textId="411AAAF1" w:rsidR="0069520B" w:rsidRDefault="0069520B" w:rsidP="00A36776">
      <w:r>
        <w:t xml:space="preserve">SCL reports to </w:t>
      </w:r>
      <w:r w:rsidR="00FB095C">
        <w:t>The Climate Registry (</w:t>
      </w:r>
      <w:r>
        <w:t>TCR</w:t>
      </w:r>
      <w:r w:rsidR="00FB095C">
        <w:t>)</w:t>
      </w:r>
      <w:r>
        <w:t xml:space="preserve"> following a rigorous and third-party audited methodology. Per the recommendations of the U.S. Community Protocol, </w:t>
      </w:r>
      <w:r w:rsidR="00EF618A">
        <w:t>the new inventory uses</w:t>
      </w:r>
      <w:r>
        <w:t xml:space="preserve"> TCR’s reported SCL emission</w:t>
      </w:r>
      <w:r w:rsidR="00C43768">
        <w:t>s</w:t>
      </w:r>
      <w:r>
        <w:t xml:space="preserve"> factor</w:t>
      </w:r>
      <w:sdt>
        <w:sdtPr>
          <w:id w:val="-615673271"/>
          <w:citation/>
        </w:sdtPr>
        <w:sdtContent>
          <w:r w:rsidR="00C43768">
            <w:fldChar w:fldCharType="begin"/>
          </w:r>
          <w:r w:rsidR="00C43768">
            <w:instrText xml:space="preserve"> CITATION The15 \l 1033 </w:instrText>
          </w:r>
          <w:r w:rsidR="00C43768">
            <w:fldChar w:fldCharType="separate"/>
          </w:r>
          <w:r w:rsidR="0040248B">
            <w:rPr>
              <w:noProof/>
            </w:rPr>
            <w:t xml:space="preserve"> (The Climate Registry, 2015)</w:t>
          </w:r>
          <w:r w:rsidR="00C43768">
            <w:fldChar w:fldCharType="end"/>
          </w:r>
        </w:sdtContent>
      </w:sdt>
      <w:r>
        <w:t xml:space="preserve">, except for 2003, which predated TCR. We used the fuel mix </w:t>
      </w:r>
      <w:r w:rsidR="00EB5277">
        <w:t xml:space="preserve">reported in the Washington Department of </w:t>
      </w:r>
      <w:r w:rsidR="00EB5277" w:rsidRPr="00A03030">
        <w:t xml:space="preserve">Commerce annual </w:t>
      </w:r>
      <w:r w:rsidR="00A03030" w:rsidRPr="00A03030">
        <w:t>2003</w:t>
      </w:r>
      <w:r w:rsidR="00EB5277" w:rsidRPr="00A03030">
        <w:t xml:space="preserve"> report</w:t>
      </w:r>
      <w:r w:rsidR="00EB5277">
        <w:t xml:space="preserve"> </w:t>
      </w:r>
      <w:r>
        <w:t>to determine SCL’s 2003 emission factor.</w:t>
      </w:r>
      <w:r w:rsidR="005442A5">
        <w:t xml:space="preserve"> We also applied the TCR methodology for calculating utility emissions factors to PSE—the other electricity utility in King County—to arrive at their utility-specific emissions factor.</w:t>
      </w:r>
    </w:p>
    <w:p w14:paraId="371CB365" w14:textId="247FE0F3" w:rsidR="005442A5" w:rsidRDefault="005442A5" w:rsidP="00A36776">
      <w:r>
        <w:lastRenderedPageBreak/>
        <w:t xml:space="preserve">The US Community Protocol calls for </w:t>
      </w:r>
      <w:r w:rsidR="001A1A97">
        <w:t>quantification of emissions from electric power transmiss</w:t>
      </w:r>
      <w:r w:rsidR="00C47450">
        <w:t>ion and distribution losses. We</w:t>
      </w:r>
      <w:r w:rsidR="001A1A97">
        <w:t xml:space="preserve"> updated past inventories to account for these losses, which make up about 8% of total electricity generation. Proportional losses were derived from</w:t>
      </w:r>
      <w:r w:rsidR="006F1D68">
        <w:t xml:space="preserve"> </w:t>
      </w:r>
      <w:r w:rsidR="00C47450">
        <w:t>estimated regional grid loss data published by the Emissions and Generation Resource Integrated Database (</w:t>
      </w:r>
      <w:proofErr w:type="spellStart"/>
      <w:r w:rsidR="00C47450">
        <w:t>eGRID</w:t>
      </w:r>
      <w:proofErr w:type="spellEnd"/>
      <w:r w:rsidR="00C47450">
        <w:t>).</w:t>
      </w:r>
    </w:p>
    <w:p w14:paraId="4BAD9C9E" w14:textId="2563ECFE" w:rsidR="00755EA0" w:rsidRDefault="00EF45CF" w:rsidP="00110790">
      <w:pPr>
        <w:pStyle w:val="Heading3"/>
      </w:pPr>
      <w:r>
        <w:t>Buildings and Industry (Natural G</w:t>
      </w:r>
      <w:r w:rsidR="00A36776">
        <w:t xml:space="preserve">as and </w:t>
      </w:r>
      <w:r>
        <w:t>O</w:t>
      </w:r>
      <w:r w:rsidR="00A36776">
        <w:t>il)</w:t>
      </w:r>
    </w:p>
    <w:p w14:paraId="415AD1AA" w14:textId="531FDD3C" w:rsidR="00B545D3" w:rsidRDefault="00EF618A" w:rsidP="00CA1E6E">
      <w:r>
        <w:t>The new inventory uses</w:t>
      </w:r>
      <w:r w:rsidR="00295DD1">
        <w:t xml:space="preserve"> industrial small equipment emission factors from the EPA NONROAD model rather than mobile emissions factors previously used. </w:t>
      </w:r>
      <w:r w:rsidR="00DA6FB5">
        <w:t>PSCAA provided data on combustion and process emissions for large industry. Process emissions occur from the manufacturing of certain goods including steel, cement, and glass, and can be measured by applying an equation to the quantity of material produced.</w:t>
      </w:r>
    </w:p>
    <w:p w14:paraId="72319665" w14:textId="77777777" w:rsidR="00D91B72" w:rsidRDefault="00D91B72" w:rsidP="00D91B72">
      <w:pPr>
        <w:pStyle w:val="Heading3"/>
      </w:pPr>
      <w:r>
        <w:t>Fugitive Emissions</w:t>
      </w:r>
    </w:p>
    <w:p w14:paraId="7363A875" w14:textId="217AB32F" w:rsidR="00D91B72" w:rsidRDefault="00D91B72" w:rsidP="00D91B72">
      <w:r>
        <w:t xml:space="preserve">Previous inventories used a State Inventory tool developed by the EPA to derive regional emissions from ODS substitutes gases. However, this tool is no longer available. Thus, for this inventory update we scaled the national EPA-reported emissions from substitution of ozone-depleting substances </w:t>
      </w:r>
      <w:sdt>
        <w:sdtPr>
          <w:id w:val="2134204717"/>
          <w:citation/>
        </w:sdtPr>
        <w:sdtContent>
          <w:r>
            <w:fldChar w:fldCharType="begin"/>
          </w:r>
          <w:r>
            <w:instrText xml:space="preserve">CITATION USE17 \l 1033 </w:instrText>
          </w:r>
          <w:r>
            <w:fldChar w:fldCharType="separate"/>
          </w:r>
          <w:r>
            <w:rPr>
              <w:noProof/>
            </w:rPr>
            <w:t>(U.S. Environmental Protection Agency, 2015)</w:t>
          </w:r>
          <w:r>
            <w:fldChar w:fldCharType="end"/>
          </w:r>
        </w:sdtContent>
      </w:sdt>
      <w:r>
        <w:t xml:space="preserve"> to a regional scale by population. </w:t>
      </w:r>
    </w:p>
    <w:p w14:paraId="514295CD" w14:textId="77777777" w:rsidR="00D91B72" w:rsidRDefault="00D91B72" w:rsidP="00D91B72">
      <w:r>
        <w:t>We also quantified SF</w:t>
      </w:r>
      <w:r w:rsidRPr="00890211">
        <w:rPr>
          <w:vertAlign w:val="subscript"/>
        </w:rPr>
        <w:t>6</w:t>
      </w:r>
      <w:r>
        <w:t xml:space="preserve"> emissions from switchgear insulation used by electric utilities. These values were derived from values reported by the utilities.</w:t>
      </w:r>
    </w:p>
    <w:p w14:paraId="3C25B1BE" w14:textId="0D20ABA1" w:rsidR="0069520B" w:rsidRDefault="0069520B" w:rsidP="00295DD1">
      <w:pPr>
        <w:pStyle w:val="Heading3"/>
      </w:pPr>
      <w:r>
        <w:t>Waste</w:t>
      </w:r>
    </w:p>
    <w:p w14:paraId="01BD3AFC" w14:textId="36E21710" w:rsidR="00684FB2" w:rsidRDefault="00684FB2" w:rsidP="00684FB2">
      <w:r>
        <w:t>Previous King County geographic-plus inventories included solid waste emissions through quantification of emissions from landfills within the county. Previous inventories also calculated solid waste emissions from all King County residents and businesses; however, these values were not included in the final geographic plus inventory tally. Because the U.S. Community Protocol prioritizes emissions calculations based on activity boundaries (as opposed to just geographic boundaries), we decided to emphasize emissions associated with all generation and disposal of waste, regardless of where the waste is transferred. This means that the solid waste emissions</w:t>
      </w:r>
      <w:r w:rsidR="00F471E5">
        <w:t xml:space="preserve"> depicted in King County’s inventory</w:t>
      </w:r>
      <w:r>
        <w:t xml:space="preserve"> include those from Seattle residents and businesses, which are transported to a landfill in Oregon for disposal. </w:t>
      </w:r>
    </w:p>
    <w:p w14:paraId="4D26665E" w14:textId="05861178" w:rsidR="0069520B" w:rsidRDefault="00F471E5" w:rsidP="0069520B">
      <w:r>
        <w:t>For calculating emissions from generation and disposal of solid waste, w</w:t>
      </w:r>
      <w:r w:rsidR="0069520B">
        <w:t xml:space="preserve">e used the same methodology to measure </w:t>
      </w:r>
      <w:r>
        <w:t xml:space="preserve">resident and business </w:t>
      </w:r>
      <w:r w:rsidR="0069520B">
        <w:t xml:space="preserve">waste emissions as used in the past, but extracted new emission factors from </w:t>
      </w:r>
      <w:r w:rsidR="00AC63A5">
        <w:t xml:space="preserve">the EPA </w:t>
      </w:r>
      <w:r w:rsidR="0069520B">
        <w:t>WARM</w:t>
      </w:r>
      <w:r w:rsidR="00AC63A5">
        <w:t xml:space="preserve"> </w:t>
      </w:r>
      <w:r w:rsidR="005C265C">
        <w:t xml:space="preserve">v14 </w:t>
      </w:r>
      <w:r w:rsidR="00AC63A5">
        <w:t>model</w:t>
      </w:r>
      <w:r w:rsidR="0069520B">
        <w:t>, and reapplied these emission factors to previous years.</w:t>
      </w:r>
      <w:r w:rsidR="00367820">
        <w:t xml:space="preserve"> We </w:t>
      </w:r>
      <w:r w:rsidR="00E7334C">
        <w:t>translated</w:t>
      </w:r>
      <w:r w:rsidR="00367820">
        <w:t xml:space="preserve"> waste composition data for Seattle and King County </w:t>
      </w:r>
      <w:sdt>
        <w:sdtPr>
          <w:id w:val="-127007837"/>
          <w:citation/>
        </w:sdtPr>
        <w:sdtContent>
          <w:r w:rsidR="00CF06A4">
            <w:fldChar w:fldCharType="begin"/>
          </w:r>
          <w:r w:rsidR="00CF06A4">
            <w:instrText xml:space="preserve"> CITATION Kin15 \l 1033 </w:instrText>
          </w:r>
          <w:r w:rsidR="00CF06A4">
            <w:fldChar w:fldCharType="separate"/>
          </w:r>
          <w:r w:rsidR="0040248B">
            <w:rPr>
              <w:noProof/>
            </w:rPr>
            <w:t>(King County, 2017)</w:t>
          </w:r>
          <w:r w:rsidR="00CF06A4">
            <w:fldChar w:fldCharType="end"/>
          </w:r>
        </w:sdtContent>
      </w:sdt>
      <w:r w:rsidR="00CF06A4">
        <w:t xml:space="preserve"> </w:t>
      </w:r>
      <w:r w:rsidR="00367820">
        <w:t xml:space="preserve">into the EPA WARM categories and applied travel distance and </w:t>
      </w:r>
      <w:r w:rsidR="00E7334C">
        <w:t xml:space="preserve">landfill </w:t>
      </w:r>
      <w:r w:rsidR="00367820">
        <w:t>gas capture data to obtain accurate measures.</w:t>
      </w:r>
      <w:r w:rsidR="00E7334C">
        <w:t xml:space="preserve"> We also included emissions from composting, which were not incorporated in previous inventories.</w:t>
      </w:r>
    </w:p>
    <w:p w14:paraId="5C6F30F5" w14:textId="77777777" w:rsidR="00684FB2" w:rsidRDefault="00684FB2" w:rsidP="00F471E5">
      <w:pPr>
        <w:pStyle w:val="Heading4"/>
      </w:pPr>
      <w:r>
        <w:lastRenderedPageBreak/>
        <w:t>Landfill Emissions</w:t>
      </w:r>
    </w:p>
    <w:p w14:paraId="75121861" w14:textId="77777777" w:rsidR="00684FB2" w:rsidRDefault="00684FB2" w:rsidP="00684FB2">
      <w:r>
        <w:t xml:space="preserve">For informational purposes, we also calculated emissions from King County’s currently managed landfills. These values are not included in the final inventory tally, as the values overlap with those associated with the generation and disposal of waste by King County businesses and residents. </w:t>
      </w:r>
    </w:p>
    <w:p w14:paraId="30B5FBF9" w14:textId="598C8069" w:rsidR="00684FB2" w:rsidRDefault="00684FB2" w:rsidP="00684FB2">
      <w:r>
        <w:t xml:space="preserve">For calculating landfill </w:t>
      </w:r>
      <w:r w:rsidR="00F471E5">
        <w:t>emissions</w:t>
      </w:r>
      <w:r>
        <w:t xml:space="preserve">, we employed the same methodology as for previous inventories for quantifying emissions from four closed Seattle landfills: </w:t>
      </w:r>
      <w:proofErr w:type="spellStart"/>
      <w:r>
        <w:t>Interbay</w:t>
      </w:r>
      <w:proofErr w:type="spellEnd"/>
      <w:r>
        <w:t>, Genesee, Judkins, and South Park. The City of Seattle is no longer including emissions from the West Seattle closed landfill; therefore, we did not include an emissions estimate for that landfill in 2015.</w:t>
      </w:r>
    </w:p>
    <w:p w14:paraId="5090588C" w14:textId="77777777" w:rsidR="00684FB2" w:rsidRDefault="00684FB2" w:rsidP="00684FB2">
      <w:commentRangeStart w:id="53"/>
      <w:r>
        <w:t xml:space="preserve">For other closed landfills outside Seattle as well as for </w:t>
      </w:r>
      <w:proofErr w:type="spellStart"/>
      <w:r>
        <w:t>Montlake</w:t>
      </w:r>
      <w:proofErr w:type="spellEnd"/>
      <w:r>
        <w:t>, we used the California Air Resources Board Landfill Emissions Tool (FOD Model), per the U.S. Community Protocol.</w:t>
      </w:r>
      <w:commentRangeEnd w:id="53"/>
      <w:r>
        <w:rPr>
          <w:rStyle w:val="CommentReference"/>
        </w:rPr>
        <w:commentReference w:id="53"/>
      </w:r>
      <w:r>
        <w:t xml:space="preserve"> Previous inventory values were updated to reflect those model outputs.</w:t>
      </w:r>
    </w:p>
    <w:p w14:paraId="4CA1CB93" w14:textId="77777777" w:rsidR="00684FB2" w:rsidRDefault="00684FB2" w:rsidP="00684FB2">
      <w:commentRangeStart w:id="54"/>
      <w:r>
        <w:t>For the one active landfill in King County, Cedar Hills, we did not change the emissions values for 2003 and 2008. For 2015, we used reported emissions values from the Puget Sound Clean Air Agency.</w:t>
      </w:r>
      <w:commentRangeEnd w:id="54"/>
      <w:r>
        <w:rPr>
          <w:rStyle w:val="CommentReference"/>
        </w:rPr>
        <w:commentReference w:id="54"/>
      </w:r>
    </w:p>
    <w:p w14:paraId="7CCE3F90" w14:textId="7318727D" w:rsidR="00755EA0" w:rsidRDefault="005303B4" w:rsidP="00295DD1">
      <w:pPr>
        <w:pStyle w:val="Heading3"/>
      </w:pPr>
      <w:r>
        <w:t xml:space="preserve">Potable </w:t>
      </w:r>
      <w:r w:rsidR="00755EA0">
        <w:t>Water</w:t>
      </w:r>
    </w:p>
    <w:p w14:paraId="4B4EDCC8" w14:textId="6B43AA50" w:rsidR="00D05783" w:rsidRDefault="005303B4" w:rsidP="00CA1E6E">
      <w:r>
        <w:t>Previous inventories did not quantify emissions from p</w:t>
      </w:r>
      <w:r w:rsidR="00B545D3">
        <w:t>otable</w:t>
      </w:r>
      <w:r w:rsidR="00363DF2">
        <w:t xml:space="preserve"> water </w:t>
      </w:r>
      <w:r>
        <w:t>as a separate category, but rather as part of the overall community energy use</w:t>
      </w:r>
      <w:r w:rsidR="00B545D3">
        <w:t>.</w:t>
      </w:r>
      <w:r w:rsidR="003722AE">
        <w:t xml:space="preserve"> </w:t>
      </w:r>
      <w:r w:rsidR="00363DF2">
        <w:t>Potable water emissions are already included elsewhere</w:t>
      </w:r>
      <w:r w:rsidR="00B545D3">
        <w:t xml:space="preserve"> because emissions are due to electricity use</w:t>
      </w:r>
      <w:r w:rsidR="00363DF2">
        <w:t xml:space="preserve">, and thus cannot be summed or </w:t>
      </w:r>
      <w:r w:rsidR="00B545D3">
        <w:t>these emissions</w:t>
      </w:r>
      <w:r w:rsidR="00363DF2">
        <w:t xml:space="preserve"> would be double-counted</w:t>
      </w:r>
      <w:r w:rsidR="00B545D3">
        <w:t xml:space="preserve"> with emissions derived from electrical use</w:t>
      </w:r>
      <w:r w:rsidR="00363DF2">
        <w:t>. However, by attributing GHG emissions to such processes, this report seeks to provide additional granularity on what processes ar</w:t>
      </w:r>
      <w:r w:rsidR="00EB5277">
        <w:t>e responsible for GH</w:t>
      </w:r>
      <w:r w:rsidR="00CA2279">
        <w:t xml:space="preserve">G emissions. Groundwater pumping, a source of energy use, </w:t>
      </w:r>
      <w:r w:rsidR="00EB5277">
        <w:t xml:space="preserve">was not applicable because King County derives potable water from surface water. </w:t>
      </w:r>
      <w:r w:rsidR="00D4494A">
        <w:t xml:space="preserve">Emissions from residential wells are included in the built environment category. </w:t>
      </w:r>
      <w:r w:rsidR="00EB5277">
        <w:t>The quantity of water conveyed was multipl</w:t>
      </w:r>
      <w:r w:rsidR="00CA2279">
        <w:t xml:space="preserve">ied by a national kWh/gallon factor </w:t>
      </w:r>
      <w:r w:rsidR="0070557F">
        <w:t xml:space="preserve">within the U.S. Community Protocol </w:t>
      </w:r>
      <w:r w:rsidR="00CA2279">
        <w:t xml:space="preserve">to determine energy use. The quantity of surface water (all water for public water for King County) was multiplied by a national kWh/gallon factor </w:t>
      </w:r>
      <w:r w:rsidR="0070557F">
        <w:t xml:space="preserve">within the U.S. Community Protocol </w:t>
      </w:r>
      <w:r w:rsidR="00CA2279">
        <w:t xml:space="preserve">to determine energy use. Energy use was then summed and multiplied by the </w:t>
      </w:r>
      <w:r w:rsidR="00DE3650">
        <w:t>SCL</w:t>
      </w:r>
      <w:r w:rsidR="00CA2279">
        <w:t xml:space="preserve"> emission</w:t>
      </w:r>
      <w:r w:rsidR="001D63FB">
        <w:t>s</w:t>
      </w:r>
      <w:r w:rsidR="00CA2279">
        <w:t xml:space="preserve"> factor to derive emissions related to potable water. </w:t>
      </w:r>
      <w:r w:rsidR="001D63FB">
        <w:t>Seattle Public Utilities reported water use</w:t>
      </w:r>
      <w:r w:rsidR="00410866">
        <w:t xml:space="preserve"> </w:t>
      </w:r>
      <w:sdt>
        <w:sdtPr>
          <w:id w:val="-1413231874"/>
          <w:citation/>
        </w:sdtPr>
        <w:sdtContent>
          <w:r w:rsidR="00410866">
            <w:fldChar w:fldCharType="begin"/>
          </w:r>
          <w:r w:rsidR="003015D0">
            <w:instrText xml:space="preserve">CITATION Sea13 \l 1033 </w:instrText>
          </w:r>
          <w:r w:rsidR="00410866">
            <w:fldChar w:fldCharType="separate"/>
          </w:r>
          <w:r w:rsidR="0040248B">
            <w:rPr>
              <w:noProof/>
            </w:rPr>
            <w:t>(Seattle Public Utilities, 2012)</w:t>
          </w:r>
          <w:r w:rsidR="00410866">
            <w:fldChar w:fldCharType="end"/>
          </w:r>
        </w:sdtContent>
      </w:sdt>
      <w:r w:rsidR="00410866">
        <w:t>.</w:t>
      </w:r>
    </w:p>
    <w:p w14:paraId="59D06F15" w14:textId="2C4255B1" w:rsidR="00755EA0" w:rsidRDefault="00755EA0" w:rsidP="00295DD1">
      <w:pPr>
        <w:pStyle w:val="Heading3"/>
      </w:pPr>
      <w:r>
        <w:t>Wastewater</w:t>
      </w:r>
    </w:p>
    <w:p w14:paraId="611C513B" w14:textId="4CF24503" w:rsidR="00FF7F45" w:rsidRDefault="00AA3532" w:rsidP="00CA1E6E">
      <w:r>
        <w:t xml:space="preserve">King County </w:t>
      </w:r>
      <w:r w:rsidR="00CC6EFE">
        <w:t xml:space="preserve">previously estimated </w:t>
      </w:r>
      <w:r>
        <w:t xml:space="preserve">wastewater-related </w:t>
      </w:r>
      <w:r w:rsidR="00F437EC">
        <w:t>GHG emissions through</w:t>
      </w:r>
      <w:r w:rsidR="00FF7F45">
        <w:t xml:space="preserve"> </w:t>
      </w:r>
      <w:r>
        <w:t xml:space="preserve">quantification of emissions associated with </w:t>
      </w:r>
      <w:r w:rsidR="00F437EC">
        <w:t xml:space="preserve">the </w:t>
      </w:r>
      <w:r w:rsidR="00FF7F45" w:rsidRPr="00295DD1">
        <w:t>treatment processes and combustion of waste gas.</w:t>
      </w:r>
      <w:r w:rsidR="003722AE" w:rsidRPr="00295DD1">
        <w:t xml:space="preserve"> </w:t>
      </w:r>
      <w:r w:rsidR="00CC6EFE">
        <w:t>The</w:t>
      </w:r>
      <w:r w:rsidR="005303B4" w:rsidRPr="00295DD1">
        <w:t xml:space="preserve"> </w:t>
      </w:r>
      <w:r w:rsidR="00F437EC" w:rsidRPr="00295DD1">
        <w:t>2003 and 2008 inventories</w:t>
      </w:r>
      <w:r w:rsidR="005303B4" w:rsidRPr="00295DD1">
        <w:t xml:space="preserve"> </w:t>
      </w:r>
      <w:r>
        <w:t xml:space="preserve">partially </w:t>
      </w:r>
      <w:r w:rsidR="00F437EC" w:rsidRPr="00295DD1">
        <w:t xml:space="preserve">accounted for </w:t>
      </w:r>
      <w:r>
        <w:t>these</w:t>
      </w:r>
      <w:r w:rsidR="00F437EC" w:rsidRPr="00295DD1">
        <w:t xml:space="preserve"> emissions </w:t>
      </w:r>
      <w:r>
        <w:t xml:space="preserve">by </w:t>
      </w:r>
      <w:r w:rsidR="00F437EC" w:rsidRPr="00295DD1">
        <w:t>measuring combustion of biogas and nitrous oxide released fr</w:t>
      </w:r>
      <w:r w:rsidR="00214FE2" w:rsidRPr="00295DD1">
        <w:t>om wastewater.</w:t>
      </w:r>
      <w:r w:rsidR="00E90D69">
        <w:t xml:space="preserve"> </w:t>
      </w:r>
      <w:r w:rsidR="00214FE2" w:rsidRPr="00295DD1">
        <w:t xml:space="preserve">The new methodology, derived from the </w:t>
      </w:r>
      <w:r>
        <w:t>U.S. C</w:t>
      </w:r>
      <w:r w:rsidR="00214FE2" w:rsidRPr="00295DD1">
        <w:t xml:space="preserve">ommunity </w:t>
      </w:r>
      <w:r>
        <w:t>P</w:t>
      </w:r>
      <w:r w:rsidR="00214FE2" w:rsidRPr="00295DD1">
        <w:t>rotocol, accounts for GHG emissions fro</w:t>
      </w:r>
      <w:r w:rsidR="00295DD1" w:rsidRPr="00295DD1">
        <w:t>m a greater number of processes, and more accurately reflects emissions from wastewater</w:t>
      </w:r>
      <w:r w:rsidR="00295DD1">
        <w:t xml:space="preserve">. </w:t>
      </w:r>
      <w:r w:rsidR="00DA6FB5">
        <w:t xml:space="preserve">The U.S. Community Protocol lays out specific methodologies based on how wastewater is treated. </w:t>
      </w:r>
      <w:r w:rsidR="00FF7F45">
        <w:t>Brightwater, a new treatment plant that opened in 2011, was also included for the 2015 inventory.</w:t>
      </w:r>
      <w:r w:rsidR="00295DD1">
        <w:t xml:space="preserve"> </w:t>
      </w:r>
      <w:r w:rsidR="00DA6FB5">
        <w:lastRenderedPageBreak/>
        <w:t xml:space="preserve">Emissions for previous years were scaled by population and did not include Brightwater. </w:t>
      </w:r>
      <w:r w:rsidR="00295DD1">
        <w:t>Nearly 85,000 residents in King County use septic systems</w:t>
      </w:r>
      <w:r w:rsidR="00226E9B">
        <w:t xml:space="preserve"> </w:t>
      </w:r>
      <w:sdt>
        <w:sdtPr>
          <w:id w:val="-1286653242"/>
          <w:citation/>
        </w:sdtPr>
        <w:sdtContent>
          <w:r w:rsidR="00226E9B">
            <w:fldChar w:fldCharType="begin"/>
          </w:r>
          <w:r w:rsidR="00226E9B">
            <w:instrText xml:space="preserve"> CITATION Kin171 \l 1033 </w:instrText>
          </w:r>
          <w:r w:rsidR="00226E9B">
            <w:fldChar w:fldCharType="separate"/>
          </w:r>
          <w:r w:rsidR="0040248B">
            <w:rPr>
              <w:noProof/>
            </w:rPr>
            <w:t>(King County, 2017)</w:t>
          </w:r>
          <w:r w:rsidR="00226E9B">
            <w:fldChar w:fldCharType="end"/>
          </w:r>
        </w:sdtContent>
      </w:sdt>
      <w:r w:rsidR="00295DD1">
        <w:t xml:space="preserve">, which </w:t>
      </w:r>
      <w:r w:rsidR="00DA6FB5">
        <w:t xml:space="preserve">release </w:t>
      </w:r>
      <w:r w:rsidR="00295DD1">
        <w:t>methane. We included emissions from sept</w:t>
      </w:r>
      <w:r w:rsidR="00DA6FB5">
        <w:t xml:space="preserve">ic systems in the </w:t>
      </w:r>
      <w:r w:rsidR="001537F0">
        <w:t>2015</w:t>
      </w:r>
      <w:r w:rsidR="00DA6FB5">
        <w:t xml:space="preserve"> inventory and scaled emissions for previous years based on population.</w:t>
      </w:r>
    </w:p>
    <w:p w14:paraId="031D75A3" w14:textId="6EA0DF9F" w:rsidR="00367820" w:rsidRDefault="00EF45CF" w:rsidP="00367820">
      <w:pPr>
        <w:pStyle w:val="Heading3"/>
      </w:pPr>
      <w:r>
        <w:t>A</w:t>
      </w:r>
      <w:r w:rsidR="00367820">
        <w:t>griculture</w:t>
      </w:r>
    </w:p>
    <w:p w14:paraId="759EA8CC" w14:textId="5C24F485" w:rsidR="00367820" w:rsidRDefault="00367820" w:rsidP="00367820">
      <w:r>
        <w:t>We updated enteric emission factors for 2015</w:t>
      </w:r>
      <w:r w:rsidR="009233F3">
        <w:t xml:space="preserve"> </w:t>
      </w:r>
      <w:r w:rsidR="00EF618A">
        <w:t xml:space="preserve">and </w:t>
      </w:r>
      <w:r>
        <w:t xml:space="preserve">previous </w:t>
      </w:r>
      <w:r w:rsidR="00EF618A">
        <w:t>years to the current reported value for that year</w:t>
      </w:r>
      <w:r>
        <w:t xml:space="preserve"> </w:t>
      </w:r>
      <w:sdt>
        <w:sdtPr>
          <w:id w:val="332721528"/>
          <w:citation/>
        </w:sdtPr>
        <w:sdtContent>
          <w:r w:rsidR="009233F3">
            <w:fldChar w:fldCharType="begin"/>
          </w:r>
          <w:r w:rsidR="006F1D68">
            <w:instrText xml:space="preserve">CITATION USE17 \l 1033 </w:instrText>
          </w:r>
          <w:r w:rsidR="009233F3">
            <w:fldChar w:fldCharType="separate"/>
          </w:r>
          <w:r w:rsidR="006F1D68">
            <w:rPr>
              <w:noProof/>
            </w:rPr>
            <w:t>(U.S. Environmental Protection Agency, 2015)</w:t>
          </w:r>
          <w:r w:rsidR="009233F3">
            <w:fldChar w:fldCharType="end"/>
          </w:r>
        </w:sdtContent>
      </w:sdt>
      <w:r>
        <w:t xml:space="preserve"> because changes in emission factors reflect biological differences rather than methodological differences. </w:t>
      </w:r>
      <w:r w:rsidR="000B2C62">
        <w:t>We also included indirect N</w:t>
      </w:r>
      <w:r w:rsidR="000B2C62" w:rsidRPr="000B2C62">
        <w:rPr>
          <w:vertAlign w:val="subscript"/>
        </w:rPr>
        <w:t>2</w:t>
      </w:r>
      <w:r w:rsidR="000B2C62">
        <w:t xml:space="preserve">O emissions from manure management. </w:t>
      </w:r>
      <w:r>
        <w:t>The</w:t>
      </w:r>
      <w:r w:rsidRPr="00367820">
        <w:t xml:space="preserve"> </w:t>
      </w:r>
      <w:r>
        <w:t>equations and the source for animal census data did not change.</w:t>
      </w:r>
    </w:p>
    <w:p w14:paraId="3D9E521B" w14:textId="6FCF3199" w:rsidR="00367820" w:rsidRDefault="00EF45CF" w:rsidP="00367820">
      <w:pPr>
        <w:pStyle w:val="Heading3"/>
      </w:pPr>
      <w:r>
        <w:t>L</w:t>
      </w:r>
      <w:r w:rsidR="00367820">
        <w:t>and</w:t>
      </w:r>
      <w:r>
        <w:t xml:space="preserve"> U</w:t>
      </w:r>
      <w:r w:rsidR="00367820">
        <w:t>se</w:t>
      </w:r>
    </w:p>
    <w:p w14:paraId="153ADC1D" w14:textId="159B6CD0" w:rsidR="00367820" w:rsidRDefault="00367820" w:rsidP="00367820">
      <w:r>
        <w:t>The King County Assessor’s office supplied data on new residential construction. We used previous equations and carbon storage assumptions to model emissions.</w:t>
      </w:r>
      <w:r w:rsidR="00971A30">
        <w:t xml:space="preserve"> New data were used to retroactively update previous years.</w:t>
      </w:r>
    </w:p>
    <w:p w14:paraId="20FFA281" w14:textId="453BB7C7" w:rsidR="00D91B72" w:rsidRPr="00367820" w:rsidRDefault="00D91B72" w:rsidP="00367820">
      <w:r>
        <w:rPr>
          <w:noProof/>
        </w:rPr>
        <mc:AlternateContent>
          <mc:Choice Requires="wps">
            <w:drawing>
              <wp:inline distT="0" distB="0" distL="0" distR="0" wp14:anchorId="1F061A9F" wp14:editId="48380A9F">
                <wp:extent cx="5918200" cy="1404620"/>
                <wp:effectExtent l="0" t="0" r="25400" b="1143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4620"/>
                        </a:xfrm>
                        <a:prstGeom prst="rect">
                          <a:avLst/>
                        </a:prstGeom>
                        <a:solidFill>
                          <a:srgbClr val="FFFFFF"/>
                        </a:solidFill>
                        <a:ln w="9525">
                          <a:solidFill>
                            <a:srgbClr val="000000"/>
                          </a:solidFill>
                          <a:miter lim="800000"/>
                          <a:headEnd/>
                          <a:tailEnd/>
                        </a:ln>
                      </wps:spPr>
                      <wps:txbx>
                        <w:txbxContent>
                          <w:p w14:paraId="0B1B99A5" w14:textId="77777777" w:rsidR="00B9756F" w:rsidRPr="000C2184" w:rsidRDefault="00B9756F" w:rsidP="00D91B72">
                            <w:pPr>
                              <w:rPr>
                                <w:b/>
                              </w:rPr>
                            </w:pPr>
                            <w:r>
                              <w:rPr>
                                <w:b/>
                              </w:rPr>
                              <w:t>2007 Emissions Inventory</w:t>
                            </w:r>
                          </w:p>
                          <w:p w14:paraId="3CE2008B" w14:textId="23B89470" w:rsidR="00B9756F" w:rsidRDefault="007840EA" w:rsidP="00D91B72">
                            <w:r>
                              <w:t xml:space="preserve">We </w:t>
                            </w:r>
                            <w:proofErr w:type="spellStart"/>
                            <w:r>
                              <w:t>interpoloated</w:t>
                            </w:r>
                            <w:proofErr w:type="spellEnd"/>
                            <w:r>
                              <w:t xml:space="preserve"> </w:t>
                            </w:r>
                            <w:r w:rsidR="006C3269">
                              <w:t xml:space="preserve">each sector of </w:t>
                            </w:r>
                            <w:r>
                              <w:t xml:space="preserve">King County’s 2003 and 2008 </w:t>
                            </w:r>
                            <w:r w:rsidR="006C3269">
                              <w:t>inventories to estimate 2007 emissions. This interpolation allows the County to track progress against its goal to reduce</w:t>
                            </w:r>
                            <w:r w:rsidR="006C3269">
                              <w:t xml:space="preserve"> greenhouse gas emissions by </w:t>
                            </w:r>
                            <w:r w:rsidR="006C3269">
                              <w:t xml:space="preserve">25% by </w:t>
                            </w:r>
                            <w:r w:rsidR="006C3269">
                              <w:t>2020 compared with 2007 levels</w:t>
                            </w:r>
                            <w:r w:rsidR="006C3269">
                              <w:t>. For most sectors, we applied a simple linear interpolation of emissions between the two years. One exception is electricity, for which we applied the publicly available 2007 utility-specific emission factors to linearly interpolated estimates of electricity consumption (kWh) to arrive at a total electricity emissions.</w:t>
                            </w:r>
                          </w:p>
                        </w:txbxContent>
                      </wps:txbx>
                      <wps:bodyPr rot="0" vert="horz" wrap="square" lIns="91440" tIns="45720" rIns="91440" bIns="45720" anchor="t" anchorCtr="0">
                        <a:spAutoFit/>
                      </wps:bodyPr>
                    </wps:wsp>
                  </a:graphicData>
                </a:graphic>
              </wp:inline>
            </w:drawing>
          </mc:Choice>
          <mc:Fallback>
            <w:pict>
              <v:shape w14:anchorId="1F061A9F" id="Text Box 11" o:spid="_x0000_s1028" type="#_x0000_t202" style="width:46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">
                <v:textbox style="mso-fit-shape-to-text:t">
                  <w:txbxContent>
                    <w:p w14:paraId="0B1B99A5" w14:textId="77777777" w:rsidR="00B9756F" w:rsidRPr="000C2184" w:rsidRDefault="00B9756F" w:rsidP="00D91B72">
                      <w:pPr>
                        <w:rPr>
                          <w:b/>
                        </w:rPr>
                      </w:pPr>
                      <w:r>
                        <w:rPr>
                          <w:b/>
                        </w:rPr>
                        <w:t>2007 Emissions Inventory</w:t>
                      </w:r>
                    </w:p>
                    <w:p w14:paraId="3CE2008B" w14:textId="23B89470" w:rsidR="00B9756F" w:rsidRDefault="007840EA" w:rsidP="00D91B72">
                      <w:r>
                        <w:t xml:space="preserve">We </w:t>
                      </w:r>
                      <w:proofErr w:type="spellStart"/>
                      <w:r>
                        <w:t>interpoloated</w:t>
                      </w:r>
                      <w:proofErr w:type="spellEnd"/>
                      <w:r>
                        <w:t xml:space="preserve"> </w:t>
                      </w:r>
                      <w:r w:rsidR="006C3269">
                        <w:t xml:space="preserve">each sector of </w:t>
                      </w:r>
                      <w:r>
                        <w:t xml:space="preserve">King County’s 2003 and 2008 </w:t>
                      </w:r>
                      <w:r w:rsidR="006C3269">
                        <w:t>inventories to estimate 2007 emissions. This interpolation allows the County to track progress against its goal to reduce</w:t>
                      </w:r>
                      <w:r w:rsidR="006C3269">
                        <w:t xml:space="preserve"> greenhouse gas emissions by </w:t>
                      </w:r>
                      <w:r w:rsidR="006C3269">
                        <w:t xml:space="preserve">25% by </w:t>
                      </w:r>
                      <w:r w:rsidR="006C3269">
                        <w:t>2020 compared with 2007 levels</w:t>
                      </w:r>
                      <w:r w:rsidR="006C3269">
                        <w:t>. For most sectors, we applied a simple linear interpolation of emissions between the two years. One exception is electricity, for which we applied the publicly available 2007 utility-specific emission factors to linearly interpolated estimates of electricity consumption (kWh) to arrive at a total electricity emissions.</w:t>
                      </w:r>
                    </w:p>
                  </w:txbxContent>
                </v:textbox>
                <w10:anchorlock/>
              </v:shape>
            </w:pict>
          </mc:Fallback>
        </mc:AlternateContent>
      </w:r>
    </w:p>
    <w:p w14:paraId="0B5D465A" w14:textId="77777777" w:rsidR="00D91B72" w:rsidRDefault="00D91B72" w:rsidP="00D91B72">
      <w:pPr>
        <w:rPr>
          <w:color w:val="416267" w:themeColor="accent3" w:themeShade="80"/>
          <w:spacing w:val="8"/>
          <w:sz w:val="32"/>
          <w:szCs w:val="32"/>
        </w:rPr>
      </w:pPr>
      <w:r>
        <w:br w:type="page"/>
      </w:r>
    </w:p>
    <w:p w14:paraId="5B886465" w14:textId="25C4D648" w:rsidR="005C23EC" w:rsidRDefault="005C23EC" w:rsidP="005C23EC">
      <w:pPr>
        <w:pStyle w:val="Heading2"/>
      </w:pPr>
      <w:bookmarkStart w:id="55" w:name="_Toc493104904"/>
      <w:r>
        <w:lastRenderedPageBreak/>
        <w:t xml:space="preserve">Data Source </w:t>
      </w:r>
      <w:r w:rsidR="00526507">
        <w:t>Limitations</w:t>
      </w:r>
      <w:bookmarkEnd w:id="55"/>
    </w:p>
    <w:p w14:paraId="2AAB15B6" w14:textId="1AE5A76E" w:rsidR="00526507" w:rsidRPr="00526507" w:rsidRDefault="00526507" w:rsidP="00526507">
      <w:r>
        <w:t>Some data from the</w:t>
      </w:r>
      <w:r w:rsidR="00352238">
        <w:t xml:space="preserve"> inherited 2003-2010 workbook were</w:t>
      </w:r>
      <w:r>
        <w:t xml:space="preserve"> not traceable back to the source </w:t>
      </w:r>
      <w:r w:rsidR="0003363F">
        <w:t>dataset. In these cases, we utilized best available datasets:</w:t>
      </w:r>
    </w:p>
    <w:p w14:paraId="3BEFF4EA" w14:textId="5E742799" w:rsidR="00690808" w:rsidRDefault="00690808" w:rsidP="00690808">
      <w:pPr>
        <w:pStyle w:val="ListParagraph"/>
        <w:numPr>
          <w:ilvl w:val="0"/>
          <w:numId w:val="24"/>
        </w:numPr>
      </w:pPr>
      <w:bookmarkStart w:id="56" w:name="_The_Consumption-based_Inventory"/>
      <w:bookmarkEnd w:id="56"/>
      <w:r w:rsidRPr="00352238">
        <w:rPr>
          <w:b/>
        </w:rPr>
        <w:t>Ferry data</w:t>
      </w:r>
      <w:r w:rsidR="00352238" w:rsidRPr="00352238">
        <w:rPr>
          <w:b/>
        </w:rPr>
        <w:t>:</w:t>
      </w:r>
      <w:r w:rsidR="00352238">
        <w:t xml:space="preserve"> Previous inventories used fuel use data for each ferry and route by month. We were not able to find a similar dataset for 2015, and thus used fiscal year ferry fuel purchase data from Washington Department of Transportation and retroactively updated past inventories accordingly.</w:t>
      </w:r>
    </w:p>
    <w:p w14:paraId="292011AB" w14:textId="1F23F686" w:rsidR="0003363F" w:rsidRPr="0003363F" w:rsidRDefault="0003363F" w:rsidP="00690808">
      <w:pPr>
        <w:pStyle w:val="ListParagraph"/>
        <w:numPr>
          <w:ilvl w:val="0"/>
          <w:numId w:val="24"/>
        </w:numPr>
        <w:rPr>
          <w:b/>
        </w:rPr>
      </w:pPr>
      <w:r w:rsidRPr="0003363F">
        <w:rPr>
          <w:b/>
        </w:rPr>
        <w:t xml:space="preserve">Fugitive gases: </w:t>
      </w:r>
      <w:r w:rsidR="00D91B72">
        <w:t>The EPA Industrial Process Module for the State Inventory Tool was used previously to quantify emissions from ODS substitutes</w:t>
      </w:r>
      <w:r>
        <w:t>.</w:t>
      </w:r>
      <w:r w:rsidR="000A17F5">
        <w:t xml:space="preserve"> We </w:t>
      </w:r>
      <w:r>
        <w:t>obtain</w:t>
      </w:r>
      <w:r w:rsidR="000A17F5">
        <w:t>ed</w:t>
      </w:r>
      <w:r>
        <w:t xml:space="preserve"> a national EPA value for fugitive gases </w:t>
      </w:r>
      <w:sdt>
        <w:sdtPr>
          <w:id w:val="-844622112"/>
          <w:citation/>
        </w:sdtPr>
        <w:sdtContent>
          <w:r>
            <w:fldChar w:fldCharType="begin"/>
          </w:r>
          <w:r w:rsidR="006F1D68">
            <w:instrText xml:space="preserve">CITATION USE17 \l 1033 </w:instrText>
          </w:r>
          <w:r>
            <w:fldChar w:fldCharType="separate"/>
          </w:r>
          <w:r w:rsidR="006F1D68">
            <w:rPr>
              <w:noProof/>
            </w:rPr>
            <w:t>(U.S. Environmental Protection Agency, 2015)</w:t>
          </w:r>
          <w:r>
            <w:fldChar w:fldCharType="end"/>
          </w:r>
        </w:sdtContent>
      </w:sdt>
      <w:r>
        <w:t xml:space="preserve"> that we scaled by population to King County. We would recommend updating the fugitive gases value if the </w:t>
      </w:r>
      <w:r w:rsidR="00D91B72">
        <w:t>State Inventory</w:t>
      </w:r>
      <w:r>
        <w:t xml:space="preserve"> tool becomes available again in the future.</w:t>
      </w:r>
    </w:p>
    <w:p w14:paraId="2708AB56" w14:textId="6041F141" w:rsidR="0003363F" w:rsidRPr="002D26A2" w:rsidRDefault="0003363F" w:rsidP="00690808">
      <w:pPr>
        <w:pStyle w:val="ListParagraph"/>
        <w:numPr>
          <w:ilvl w:val="0"/>
          <w:numId w:val="24"/>
        </w:numPr>
        <w:rPr>
          <w:b/>
        </w:rPr>
      </w:pPr>
      <w:r>
        <w:rPr>
          <w:b/>
        </w:rPr>
        <w:t xml:space="preserve">2003 VMT: </w:t>
      </w:r>
      <w:r>
        <w:t>The PSRC data extended back to 2006. To derive 2003 VMT we modeled available PSRC data and predicted 2003 VMT with the resulting linear equation.</w:t>
      </w:r>
    </w:p>
    <w:p w14:paraId="6157B7A2" w14:textId="77777777" w:rsidR="002D26A2" w:rsidRDefault="002D26A2" w:rsidP="00CA5C38">
      <w:pPr>
        <w:rPr>
          <w:rFonts w:asciiTheme="majorHAnsi" w:eastAsiaTheme="majorEastAsia" w:hAnsiTheme="majorHAnsi" w:cstheme="majorBidi"/>
          <w:color w:val="9E5D29" w:themeColor="accent5" w:themeShade="BF"/>
          <w:spacing w:val="8"/>
          <w:sz w:val="40"/>
          <w:szCs w:val="40"/>
        </w:rPr>
      </w:pPr>
      <w:r>
        <w:br w:type="page"/>
      </w:r>
    </w:p>
    <w:p w14:paraId="3124ADED" w14:textId="18FA9CA2" w:rsidR="002D26A2" w:rsidRDefault="002D26A2" w:rsidP="002D26A2">
      <w:pPr>
        <w:pStyle w:val="Heading1"/>
        <w:pageBreakBefore w:val="0"/>
      </w:pPr>
      <w:bookmarkStart w:id="57" w:name="_Toc493104905"/>
      <w:r>
        <w:lastRenderedPageBreak/>
        <w:t>Data Sensitivity to Local Conditions</w:t>
      </w:r>
      <w:bookmarkEnd w:id="57"/>
    </w:p>
    <w:p w14:paraId="6731228E" w14:textId="77777777" w:rsidR="002D26A2" w:rsidRDefault="002D26A2" w:rsidP="002D26A2">
      <w:r>
        <w:t xml:space="preserve">In the King County 2015 greenhouse gas inventory, some values are associated with locally-derived data, and thus are sensitive to changes in policy within King County and between King County and larger-scale jurisdictions (i.e. Washington state or national). Other values are based on national or regional data, and thus may not accurately reflect King County progress or programmatic influence. In this section, we briefly discuss data sources within the King County greenhouse gas inventory and their associated sensitivity to local influence. </w:t>
      </w:r>
    </w:p>
    <w:p w14:paraId="63078A09" w14:textId="16DF5F92" w:rsidR="002D26A2" w:rsidRDefault="002D26A2" w:rsidP="002D26A2">
      <w:pPr>
        <w:pStyle w:val="Caption"/>
      </w:pPr>
      <w:r>
        <w:t xml:space="preserve">Table </w:t>
      </w:r>
      <w:fldSimple w:instr=" SEQ Table \* ARABIC ">
        <w:r w:rsidR="00F638BC">
          <w:rPr>
            <w:noProof/>
          </w:rPr>
          <w:t>8</w:t>
        </w:r>
      </w:fldSimple>
      <w:r>
        <w:t>. Summary of data sensitivity to local conditions for the King County 2015 communitywide inventory</w:t>
      </w:r>
    </w:p>
    <w:tbl>
      <w:tblPr>
        <w:tblStyle w:val="ListTable3-Accent31"/>
        <w:tblW w:w="0" w:type="auto"/>
        <w:tblLook w:val="04A0" w:firstRow="1" w:lastRow="0" w:firstColumn="1" w:lastColumn="0" w:noHBand="0" w:noVBand="1"/>
      </w:tblPr>
      <w:tblGrid>
        <w:gridCol w:w="1888"/>
        <w:gridCol w:w="1038"/>
        <w:gridCol w:w="1299"/>
        <w:gridCol w:w="1620"/>
        <w:gridCol w:w="1415"/>
        <w:gridCol w:w="1062"/>
        <w:gridCol w:w="1028"/>
      </w:tblGrid>
      <w:tr w:rsidR="00C36A1D" w:rsidRPr="001243DB" w14:paraId="7DA17C21" w14:textId="77777777" w:rsidTr="00CE0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88" w:type="dxa"/>
          </w:tcPr>
          <w:p w14:paraId="33475D0D" w14:textId="77777777" w:rsidR="00C36A1D" w:rsidRPr="001243DB" w:rsidRDefault="00C36A1D" w:rsidP="00DC2FA6">
            <w:pPr>
              <w:spacing w:after="0"/>
              <w:contextualSpacing/>
              <w:rPr>
                <w:sz w:val="18"/>
                <w:szCs w:val="18"/>
              </w:rPr>
            </w:pPr>
            <w:r w:rsidRPr="001243DB">
              <w:rPr>
                <w:sz w:val="18"/>
                <w:szCs w:val="18"/>
              </w:rPr>
              <w:t>Inventory sector or source</w:t>
            </w:r>
          </w:p>
        </w:tc>
        <w:tc>
          <w:tcPr>
            <w:tcW w:w="1038" w:type="dxa"/>
          </w:tcPr>
          <w:p w14:paraId="3CA25DA6" w14:textId="46472553" w:rsidR="00C36A1D" w:rsidRPr="001243DB" w:rsidRDefault="00C36A1D" w:rsidP="00DC2FA6">
            <w:pPr>
              <w:spacing w:after="0"/>
              <w:contextualSpacing/>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Percent of total 2015 emissions</w:t>
            </w:r>
          </w:p>
        </w:tc>
        <w:tc>
          <w:tcPr>
            <w:tcW w:w="1299" w:type="dxa"/>
          </w:tcPr>
          <w:p w14:paraId="53C99722" w14:textId="13519A8A" w:rsidR="00C36A1D" w:rsidRPr="001243DB" w:rsidRDefault="00C36A1D" w:rsidP="00DC2FA6">
            <w:pPr>
              <w:spacing w:after="0"/>
              <w:contextualSpacing/>
              <w:cnfStyle w:val="100000000000" w:firstRow="1" w:lastRow="0" w:firstColumn="0" w:lastColumn="0" w:oddVBand="0" w:evenVBand="0" w:oddHBand="0" w:evenHBand="0" w:firstRowFirstColumn="0" w:firstRowLastColumn="0" w:lastRowFirstColumn="0" w:lastRowLastColumn="0"/>
              <w:rPr>
                <w:sz w:val="18"/>
                <w:szCs w:val="18"/>
              </w:rPr>
            </w:pPr>
            <w:r w:rsidRPr="001243DB">
              <w:rPr>
                <w:sz w:val="18"/>
                <w:szCs w:val="18"/>
              </w:rPr>
              <w:t xml:space="preserve">Values </w:t>
            </w:r>
            <w:r>
              <w:rPr>
                <w:sz w:val="18"/>
                <w:szCs w:val="18"/>
              </w:rPr>
              <w:t xml:space="preserve">are sensitive to </w:t>
            </w:r>
            <w:r w:rsidRPr="001243DB">
              <w:rPr>
                <w:sz w:val="18"/>
                <w:szCs w:val="18"/>
              </w:rPr>
              <w:t>local conditions</w:t>
            </w:r>
          </w:p>
        </w:tc>
        <w:tc>
          <w:tcPr>
            <w:tcW w:w="1620" w:type="dxa"/>
          </w:tcPr>
          <w:p w14:paraId="77B7E444" w14:textId="77777777" w:rsidR="00C36A1D" w:rsidRPr="001243DB" w:rsidRDefault="00C36A1D" w:rsidP="00DC2FA6">
            <w:pPr>
              <w:spacing w:after="0"/>
              <w:contextualSpacing/>
              <w:cnfStyle w:val="100000000000" w:firstRow="1" w:lastRow="0" w:firstColumn="0" w:lastColumn="0" w:oddVBand="0" w:evenVBand="0" w:oddHBand="0" w:evenHBand="0" w:firstRowFirstColumn="0" w:firstRowLastColumn="0" w:lastRowFirstColumn="0" w:lastRowLastColumn="0"/>
              <w:rPr>
                <w:sz w:val="18"/>
                <w:szCs w:val="18"/>
              </w:rPr>
            </w:pPr>
            <w:r w:rsidRPr="001243DB">
              <w:rPr>
                <w:sz w:val="18"/>
                <w:szCs w:val="18"/>
              </w:rPr>
              <w:t xml:space="preserve">Values </w:t>
            </w:r>
            <w:r>
              <w:rPr>
                <w:sz w:val="18"/>
                <w:szCs w:val="18"/>
              </w:rPr>
              <w:t xml:space="preserve">are sensitive to </w:t>
            </w:r>
            <w:r w:rsidRPr="001243DB">
              <w:rPr>
                <w:sz w:val="18"/>
                <w:szCs w:val="18"/>
              </w:rPr>
              <w:t>local conditions, with some exceptions</w:t>
            </w:r>
          </w:p>
        </w:tc>
        <w:tc>
          <w:tcPr>
            <w:tcW w:w="1415" w:type="dxa"/>
          </w:tcPr>
          <w:p w14:paraId="64BCFAA3" w14:textId="77777777" w:rsidR="00C36A1D" w:rsidRPr="001243DB" w:rsidRDefault="00C36A1D" w:rsidP="00DC2FA6">
            <w:pPr>
              <w:spacing w:after="0"/>
              <w:contextualSpacing/>
              <w:cnfStyle w:val="100000000000" w:firstRow="1" w:lastRow="0" w:firstColumn="0" w:lastColumn="0" w:oddVBand="0" w:evenVBand="0" w:oddHBand="0" w:evenHBand="0" w:firstRowFirstColumn="0" w:firstRowLastColumn="0" w:lastRowFirstColumn="0" w:lastRowLastColumn="0"/>
              <w:rPr>
                <w:sz w:val="18"/>
                <w:szCs w:val="18"/>
              </w:rPr>
            </w:pPr>
            <w:r w:rsidRPr="001243DB">
              <w:rPr>
                <w:sz w:val="18"/>
                <w:szCs w:val="18"/>
              </w:rPr>
              <w:t>Values are based on scaled regional/state data</w:t>
            </w:r>
          </w:p>
        </w:tc>
        <w:tc>
          <w:tcPr>
            <w:tcW w:w="1062" w:type="dxa"/>
          </w:tcPr>
          <w:p w14:paraId="40E83BD2" w14:textId="77777777" w:rsidR="00C36A1D" w:rsidRPr="001243DB" w:rsidRDefault="00C36A1D" w:rsidP="00DC2FA6">
            <w:pPr>
              <w:spacing w:after="0"/>
              <w:contextualSpacing/>
              <w:cnfStyle w:val="100000000000" w:firstRow="1" w:lastRow="0" w:firstColumn="0" w:lastColumn="0" w:oddVBand="0" w:evenVBand="0" w:oddHBand="0" w:evenHBand="0" w:firstRowFirstColumn="0" w:firstRowLastColumn="0" w:lastRowFirstColumn="0" w:lastRowLastColumn="0"/>
              <w:rPr>
                <w:sz w:val="18"/>
                <w:szCs w:val="18"/>
              </w:rPr>
            </w:pPr>
            <w:r w:rsidRPr="001243DB">
              <w:rPr>
                <w:sz w:val="18"/>
                <w:szCs w:val="18"/>
              </w:rPr>
              <w:t>Values are based on scaled national data</w:t>
            </w:r>
          </w:p>
        </w:tc>
        <w:tc>
          <w:tcPr>
            <w:tcW w:w="1028" w:type="dxa"/>
          </w:tcPr>
          <w:p w14:paraId="284BC3C1" w14:textId="77777777" w:rsidR="00C36A1D" w:rsidRPr="001243DB" w:rsidRDefault="00C36A1D" w:rsidP="00DC2FA6">
            <w:pPr>
              <w:spacing w:after="0"/>
              <w:contextualSpacing/>
              <w:cnfStyle w:val="100000000000" w:firstRow="1" w:lastRow="0" w:firstColumn="0" w:lastColumn="0" w:oddVBand="0" w:evenVBand="0" w:oddHBand="0" w:evenHBand="0" w:firstRowFirstColumn="0" w:firstRowLastColumn="0" w:lastRowFirstColumn="0" w:lastRowLastColumn="0"/>
              <w:rPr>
                <w:sz w:val="18"/>
                <w:szCs w:val="18"/>
              </w:rPr>
            </w:pPr>
            <w:r w:rsidRPr="001243DB">
              <w:rPr>
                <w:sz w:val="18"/>
                <w:szCs w:val="18"/>
              </w:rPr>
              <w:t>Unknown</w:t>
            </w:r>
          </w:p>
        </w:tc>
      </w:tr>
      <w:tr w:rsidR="00C36A1D" w:rsidRPr="001243DB" w14:paraId="2F681D82" w14:textId="77777777" w:rsidTr="00CE0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372406F5" w14:textId="77777777" w:rsidR="00C36A1D" w:rsidRPr="001243DB" w:rsidRDefault="00C36A1D" w:rsidP="00C36A1D">
            <w:pPr>
              <w:spacing w:after="0"/>
              <w:contextualSpacing/>
              <w:rPr>
                <w:sz w:val="18"/>
                <w:szCs w:val="18"/>
              </w:rPr>
            </w:pPr>
            <w:r w:rsidRPr="001243DB">
              <w:rPr>
                <w:sz w:val="18"/>
                <w:szCs w:val="18"/>
              </w:rPr>
              <w:t>Electricity</w:t>
            </w:r>
          </w:p>
        </w:tc>
        <w:tc>
          <w:tcPr>
            <w:tcW w:w="1038" w:type="dxa"/>
          </w:tcPr>
          <w:p w14:paraId="6F41CBB4" w14:textId="47A768C0" w:rsidR="00C36A1D" w:rsidRPr="001243DB" w:rsidRDefault="00CE0457" w:rsidP="00AB499B">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Segoe UI" w:hAnsi="Segoe UI" w:cs="Segoe UI"/>
                <w:color w:val="000000"/>
                <w:sz w:val="18"/>
                <w:szCs w:val="18"/>
              </w:rPr>
              <w:t>29</w:t>
            </w:r>
            <w:r w:rsidR="00C36A1D">
              <w:rPr>
                <w:rFonts w:ascii="Segoe UI" w:hAnsi="Segoe UI" w:cs="Segoe UI"/>
                <w:color w:val="000000"/>
                <w:sz w:val="18"/>
                <w:szCs w:val="18"/>
              </w:rPr>
              <w:t>%</w:t>
            </w:r>
          </w:p>
        </w:tc>
        <w:tc>
          <w:tcPr>
            <w:tcW w:w="1299" w:type="dxa"/>
          </w:tcPr>
          <w:p w14:paraId="7C2BC057" w14:textId="3BEF8804"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620" w:type="dxa"/>
          </w:tcPr>
          <w:p w14:paraId="357EB38E" w14:textId="77777777"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1243DB">
              <w:rPr>
                <w:sz w:val="18"/>
                <w:szCs w:val="18"/>
              </w:rPr>
              <w:sym w:font="Wingdings" w:char="F0FC"/>
            </w:r>
          </w:p>
        </w:tc>
        <w:tc>
          <w:tcPr>
            <w:tcW w:w="1415" w:type="dxa"/>
          </w:tcPr>
          <w:p w14:paraId="58BB226E" w14:textId="77777777"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2" w:type="dxa"/>
          </w:tcPr>
          <w:p w14:paraId="1E24B99E" w14:textId="77777777"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28" w:type="dxa"/>
          </w:tcPr>
          <w:p w14:paraId="01F1AC35" w14:textId="77777777"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36A1D" w:rsidRPr="001243DB" w14:paraId="6714C254" w14:textId="77777777" w:rsidTr="00CE0457">
        <w:tc>
          <w:tcPr>
            <w:cnfStyle w:val="001000000000" w:firstRow="0" w:lastRow="0" w:firstColumn="1" w:lastColumn="0" w:oddVBand="0" w:evenVBand="0" w:oddHBand="0" w:evenHBand="0" w:firstRowFirstColumn="0" w:firstRowLastColumn="0" w:lastRowFirstColumn="0" w:lastRowLastColumn="0"/>
            <w:tcW w:w="1888" w:type="dxa"/>
          </w:tcPr>
          <w:p w14:paraId="4840DD2B" w14:textId="77777777" w:rsidR="00C36A1D" w:rsidRPr="001243DB" w:rsidRDefault="00C36A1D" w:rsidP="00C36A1D">
            <w:pPr>
              <w:spacing w:after="0"/>
              <w:contextualSpacing/>
              <w:rPr>
                <w:sz w:val="18"/>
                <w:szCs w:val="18"/>
              </w:rPr>
            </w:pPr>
            <w:r w:rsidRPr="001243DB">
              <w:rPr>
                <w:sz w:val="18"/>
                <w:szCs w:val="18"/>
              </w:rPr>
              <w:t>Natural Gas</w:t>
            </w:r>
          </w:p>
        </w:tc>
        <w:tc>
          <w:tcPr>
            <w:tcW w:w="1038" w:type="dxa"/>
          </w:tcPr>
          <w:p w14:paraId="4A2F10A7" w14:textId="6FB58F52"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Segoe UI" w:hAnsi="Segoe UI" w:cs="Segoe UI"/>
                <w:color w:val="000000"/>
                <w:sz w:val="18"/>
                <w:szCs w:val="18"/>
              </w:rPr>
              <w:t>14%</w:t>
            </w:r>
          </w:p>
        </w:tc>
        <w:tc>
          <w:tcPr>
            <w:tcW w:w="1299" w:type="dxa"/>
          </w:tcPr>
          <w:p w14:paraId="7B719C66" w14:textId="4A30B8D1"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1243DB">
              <w:rPr>
                <w:sz w:val="18"/>
                <w:szCs w:val="18"/>
              </w:rPr>
              <w:sym w:font="Wingdings" w:char="F0FC"/>
            </w:r>
          </w:p>
        </w:tc>
        <w:tc>
          <w:tcPr>
            <w:tcW w:w="1620" w:type="dxa"/>
          </w:tcPr>
          <w:p w14:paraId="5089F6D4" w14:textId="77777777"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5" w:type="dxa"/>
          </w:tcPr>
          <w:p w14:paraId="57CF13EE" w14:textId="77777777"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2" w:type="dxa"/>
          </w:tcPr>
          <w:p w14:paraId="3E3C8766" w14:textId="77777777"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28" w:type="dxa"/>
          </w:tcPr>
          <w:p w14:paraId="33232A26" w14:textId="77777777"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36A1D" w:rsidRPr="001243DB" w14:paraId="335BF78E" w14:textId="77777777" w:rsidTr="00CE0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226FF825" w14:textId="77777777" w:rsidR="00C36A1D" w:rsidRPr="001243DB" w:rsidRDefault="00C36A1D" w:rsidP="00C36A1D">
            <w:pPr>
              <w:spacing w:after="0"/>
              <w:contextualSpacing/>
              <w:rPr>
                <w:sz w:val="18"/>
                <w:szCs w:val="18"/>
              </w:rPr>
            </w:pPr>
            <w:r w:rsidRPr="001243DB">
              <w:rPr>
                <w:sz w:val="18"/>
                <w:szCs w:val="18"/>
              </w:rPr>
              <w:t>Petroleum heating</w:t>
            </w:r>
          </w:p>
        </w:tc>
        <w:tc>
          <w:tcPr>
            <w:tcW w:w="1038" w:type="dxa"/>
          </w:tcPr>
          <w:p w14:paraId="05115AF6" w14:textId="234827B7"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Segoe UI" w:hAnsi="Segoe UI" w:cs="Segoe UI"/>
                <w:color w:val="000000"/>
                <w:sz w:val="18"/>
                <w:szCs w:val="18"/>
              </w:rPr>
              <w:t>2%</w:t>
            </w:r>
          </w:p>
        </w:tc>
        <w:tc>
          <w:tcPr>
            <w:tcW w:w="1299" w:type="dxa"/>
          </w:tcPr>
          <w:p w14:paraId="3C8F5EEF" w14:textId="0A9EB1A2"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620" w:type="dxa"/>
          </w:tcPr>
          <w:p w14:paraId="6339D934" w14:textId="77777777"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5" w:type="dxa"/>
          </w:tcPr>
          <w:p w14:paraId="3D4E8CB0" w14:textId="77777777"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1243DB">
              <w:rPr>
                <w:sz w:val="18"/>
                <w:szCs w:val="18"/>
              </w:rPr>
              <w:sym w:font="Wingdings" w:char="F0FC"/>
            </w:r>
          </w:p>
        </w:tc>
        <w:tc>
          <w:tcPr>
            <w:tcW w:w="1062" w:type="dxa"/>
          </w:tcPr>
          <w:p w14:paraId="09780BE4" w14:textId="77777777"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28" w:type="dxa"/>
          </w:tcPr>
          <w:p w14:paraId="5D6CD609" w14:textId="77777777"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36A1D" w:rsidRPr="001243DB" w14:paraId="3126B017" w14:textId="77777777" w:rsidTr="00CE0457">
        <w:tc>
          <w:tcPr>
            <w:cnfStyle w:val="001000000000" w:firstRow="0" w:lastRow="0" w:firstColumn="1" w:lastColumn="0" w:oddVBand="0" w:evenVBand="0" w:oddHBand="0" w:evenHBand="0" w:firstRowFirstColumn="0" w:firstRowLastColumn="0" w:lastRowFirstColumn="0" w:lastRowLastColumn="0"/>
            <w:tcW w:w="1888" w:type="dxa"/>
          </w:tcPr>
          <w:p w14:paraId="6A34C5B8" w14:textId="77777777" w:rsidR="00C36A1D" w:rsidRPr="001243DB" w:rsidRDefault="00C36A1D" w:rsidP="00C36A1D">
            <w:pPr>
              <w:spacing w:after="0"/>
              <w:contextualSpacing/>
              <w:rPr>
                <w:sz w:val="18"/>
                <w:szCs w:val="18"/>
              </w:rPr>
            </w:pPr>
            <w:r w:rsidRPr="001243DB">
              <w:rPr>
                <w:sz w:val="18"/>
                <w:szCs w:val="18"/>
              </w:rPr>
              <w:t>Non</w:t>
            </w:r>
            <w:r>
              <w:rPr>
                <w:sz w:val="18"/>
                <w:szCs w:val="18"/>
              </w:rPr>
              <w:t>-</w:t>
            </w:r>
            <w:r w:rsidRPr="001243DB">
              <w:rPr>
                <w:sz w:val="18"/>
                <w:szCs w:val="18"/>
              </w:rPr>
              <w:t>road equipment</w:t>
            </w:r>
            <w:r>
              <w:rPr>
                <w:sz w:val="18"/>
                <w:szCs w:val="18"/>
              </w:rPr>
              <w:t>/vehicles</w:t>
            </w:r>
          </w:p>
        </w:tc>
        <w:tc>
          <w:tcPr>
            <w:tcW w:w="1038" w:type="dxa"/>
          </w:tcPr>
          <w:p w14:paraId="49CAF12E" w14:textId="5A69C47A" w:rsidR="00C36A1D" w:rsidRPr="001243DB" w:rsidRDefault="00ED7496"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Segoe UI" w:hAnsi="Segoe UI" w:cs="Segoe UI"/>
                <w:color w:val="000000"/>
                <w:sz w:val="18"/>
                <w:szCs w:val="18"/>
              </w:rPr>
              <w:t>5</w:t>
            </w:r>
            <w:r w:rsidR="00C36A1D">
              <w:rPr>
                <w:rFonts w:ascii="Segoe UI" w:hAnsi="Segoe UI" w:cs="Segoe UI"/>
                <w:color w:val="000000"/>
                <w:sz w:val="18"/>
                <w:szCs w:val="18"/>
              </w:rPr>
              <w:t>%</w:t>
            </w:r>
          </w:p>
        </w:tc>
        <w:tc>
          <w:tcPr>
            <w:tcW w:w="1299" w:type="dxa"/>
          </w:tcPr>
          <w:p w14:paraId="05921A76" w14:textId="05DB514F"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20" w:type="dxa"/>
          </w:tcPr>
          <w:p w14:paraId="510DC296" w14:textId="77777777"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5" w:type="dxa"/>
          </w:tcPr>
          <w:p w14:paraId="17EEC44B" w14:textId="77777777"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2" w:type="dxa"/>
          </w:tcPr>
          <w:p w14:paraId="3DED35E2" w14:textId="77777777"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28" w:type="dxa"/>
          </w:tcPr>
          <w:p w14:paraId="5038E143" w14:textId="77777777"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1243DB">
              <w:rPr>
                <w:sz w:val="18"/>
                <w:szCs w:val="18"/>
              </w:rPr>
              <w:sym w:font="Wingdings" w:char="F0FC"/>
            </w:r>
          </w:p>
        </w:tc>
      </w:tr>
      <w:tr w:rsidR="00C36A1D" w:rsidRPr="001243DB" w14:paraId="1C0AE3C0" w14:textId="77777777" w:rsidTr="00CE0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343E39A6" w14:textId="77777777" w:rsidR="00C36A1D" w:rsidRPr="001243DB" w:rsidRDefault="00C36A1D" w:rsidP="00C36A1D">
            <w:pPr>
              <w:spacing w:after="0"/>
              <w:contextualSpacing/>
              <w:rPr>
                <w:sz w:val="18"/>
                <w:szCs w:val="18"/>
              </w:rPr>
            </w:pPr>
            <w:r w:rsidRPr="001243DB">
              <w:rPr>
                <w:sz w:val="18"/>
                <w:szCs w:val="18"/>
              </w:rPr>
              <w:t>Steam</w:t>
            </w:r>
          </w:p>
        </w:tc>
        <w:tc>
          <w:tcPr>
            <w:tcW w:w="1038" w:type="dxa"/>
          </w:tcPr>
          <w:p w14:paraId="743EC0F3" w14:textId="7FFB5D39"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Segoe UI" w:hAnsi="Segoe UI" w:cs="Segoe UI"/>
                <w:color w:val="000000"/>
                <w:sz w:val="18"/>
                <w:szCs w:val="18"/>
              </w:rPr>
              <w:t>1%</w:t>
            </w:r>
          </w:p>
        </w:tc>
        <w:tc>
          <w:tcPr>
            <w:tcW w:w="1299" w:type="dxa"/>
          </w:tcPr>
          <w:p w14:paraId="5236603B" w14:textId="0993555F"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1243DB">
              <w:rPr>
                <w:sz w:val="18"/>
                <w:szCs w:val="18"/>
              </w:rPr>
              <w:sym w:font="Wingdings" w:char="F0FC"/>
            </w:r>
          </w:p>
        </w:tc>
        <w:tc>
          <w:tcPr>
            <w:tcW w:w="1620" w:type="dxa"/>
          </w:tcPr>
          <w:p w14:paraId="0B16A9DA" w14:textId="77777777"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5" w:type="dxa"/>
          </w:tcPr>
          <w:p w14:paraId="7F7ED1AE" w14:textId="77777777"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2" w:type="dxa"/>
          </w:tcPr>
          <w:p w14:paraId="3F3EF6F9" w14:textId="77777777"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28" w:type="dxa"/>
          </w:tcPr>
          <w:p w14:paraId="6D95848C" w14:textId="77777777" w:rsidR="00C36A1D" w:rsidRPr="001243DB" w:rsidRDefault="00C36A1D" w:rsidP="00C36A1D">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36A1D" w:rsidRPr="001243DB" w14:paraId="585F9A33" w14:textId="77777777" w:rsidTr="00CE0457">
        <w:tc>
          <w:tcPr>
            <w:cnfStyle w:val="001000000000" w:firstRow="0" w:lastRow="0" w:firstColumn="1" w:lastColumn="0" w:oddVBand="0" w:evenVBand="0" w:oddHBand="0" w:evenHBand="0" w:firstRowFirstColumn="0" w:firstRowLastColumn="0" w:lastRowFirstColumn="0" w:lastRowLastColumn="0"/>
            <w:tcW w:w="1888" w:type="dxa"/>
          </w:tcPr>
          <w:p w14:paraId="68CFFE03" w14:textId="77777777" w:rsidR="00C36A1D" w:rsidRPr="001243DB" w:rsidRDefault="00C36A1D" w:rsidP="00C36A1D">
            <w:pPr>
              <w:spacing w:after="0"/>
              <w:contextualSpacing/>
              <w:rPr>
                <w:sz w:val="18"/>
                <w:szCs w:val="18"/>
              </w:rPr>
            </w:pPr>
            <w:r w:rsidRPr="001243DB">
              <w:rPr>
                <w:sz w:val="18"/>
                <w:szCs w:val="18"/>
              </w:rPr>
              <w:t>Industrial processes</w:t>
            </w:r>
          </w:p>
        </w:tc>
        <w:tc>
          <w:tcPr>
            <w:tcW w:w="1038" w:type="dxa"/>
          </w:tcPr>
          <w:p w14:paraId="2A57E7EB" w14:textId="69344CDD"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Segoe UI" w:hAnsi="Segoe UI" w:cs="Segoe UI"/>
                <w:color w:val="000000"/>
                <w:sz w:val="18"/>
                <w:szCs w:val="18"/>
              </w:rPr>
              <w:t>2%</w:t>
            </w:r>
          </w:p>
        </w:tc>
        <w:tc>
          <w:tcPr>
            <w:tcW w:w="1299" w:type="dxa"/>
          </w:tcPr>
          <w:p w14:paraId="0E509AF3" w14:textId="267D2742"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20" w:type="dxa"/>
          </w:tcPr>
          <w:p w14:paraId="4555184B" w14:textId="77777777"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1243DB">
              <w:rPr>
                <w:sz w:val="18"/>
                <w:szCs w:val="18"/>
              </w:rPr>
              <w:sym w:font="Wingdings" w:char="F0FC"/>
            </w:r>
          </w:p>
        </w:tc>
        <w:tc>
          <w:tcPr>
            <w:tcW w:w="1415" w:type="dxa"/>
          </w:tcPr>
          <w:p w14:paraId="6C91E20A" w14:textId="77777777"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2" w:type="dxa"/>
          </w:tcPr>
          <w:p w14:paraId="33998FF2" w14:textId="77777777"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28" w:type="dxa"/>
          </w:tcPr>
          <w:p w14:paraId="25340990" w14:textId="77777777" w:rsidR="00C36A1D" w:rsidRPr="001243DB" w:rsidRDefault="00C36A1D" w:rsidP="00C36A1D">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E0457" w:rsidRPr="001243DB" w14:paraId="2C861DCE" w14:textId="77777777" w:rsidTr="00CE0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74E3B474" w14:textId="13DD9363" w:rsidR="00CE0457" w:rsidRPr="001243DB" w:rsidRDefault="00CE0457" w:rsidP="00CE0457">
            <w:pPr>
              <w:spacing w:after="0"/>
              <w:contextualSpacing/>
              <w:rPr>
                <w:sz w:val="18"/>
                <w:szCs w:val="18"/>
              </w:rPr>
            </w:pPr>
            <w:r>
              <w:rPr>
                <w:sz w:val="18"/>
                <w:szCs w:val="18"/>
              </w:rPr>
              <w:t>Fugitive gas</w:t>
            </w:r>
          </w:p>
        </w:tc>
        <w:tc>
          <w:tcPr>
            <w:tcW w:w="1038" w:type="dxa"/>
          </w:tcPr>
          <w:p w14:paraId="5E8EC9DD" w14:textId="4F2E9BCD" w:rsidR="00CE0457"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8"/>
                <w:szCs w:val="18"/>
              </w:rPr>
            </w:pPr>
            <w:r>
              <w:rPr>
                <w:rFonts w:ascii="Segoe UI" w:hAnsi="Segoe UI" w:cs="Segoe UI"/>
                <w:color w:val="000000"/>
                <w:sz w:val="18"/>
                <w:szCs w:val="18"/>
              </w:rPr>
              <w:t>5%</w:t>
            </w:r>
          </w:p>
        </w:tc>
        <w:tc>
          <w:tcPr>
            <w:tcW w:w="1299" w:type="dxa"/>
          </w:tcPr>
          <w:p w14:paraId="26E309B7"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620" w:type="dxa"/>
          </w:tcPr>
          <w:p w14:paraId="6EF87091"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5" w:type="dxa"/>
          </w:tcPr>
          <w:p w14:paraId="4C0368A1"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2" w:type="dxa"/>
          </w:tcPr>
          <w:p w14:paraId="39D1CF5E" w14:textId="6510DAF0"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1243DB">
              <w:rPr>
                <w:sz w:val="18"/>
                <w:szCs w:val="18"/>
              </w:rPr>
              <w:sym w:font="Wingdings" w:char="F0FC"/>
            </w:r>
          </w:p>
        </w:tc>
        <w:tc>
          <w:tcPr>
            <w:tcW w:w="1028" w:type="dxa"/>
          </w:tcPr>
          <w:p w14:paraId="410D0BAF"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E0457" w:rsidRPr="001243DB" w14:paraId="512EF936" w14:textId="77777777" w:rsidTr="00CE0457">
        <w:tc>
          <w:tcPr>
            <w:cnfStyle w:val="001000000000" w:firstRow="0" w:lastRow="0" w:firstColumn="1" w:lastColumn="0" w:oddVBand="0" w:evenVBand="0" w:oddHBand="0" w:evenHBand="0" w:firstRowFirstColumn="0" w:firstRowLastColumn="0" w:lastRowFirstColumn="0" w:lastRowLastColumn="0"/>
            <w:tcW w:w="1888" w:type="dxa"/>
          </w:tcPr>
          <w:p w14:paraId="66AB7BE7" w14:textId="77777777" w:rsidR="00CE0457" w:rsidRPr="001243DB" w:rsidRDefault="00CE0457" w:rsidP="00CE0457">
            <w:pPr>
              <w:spacing w:after="0"/>
              <w:contextualSpacing/>
              <w:rPr>
                <w:sz w:val="18"/>
                <w:szCs w:val="18"/>
              </w:rPr>
            </w:pPr>
            <w:r w:rsidRPr="001243DB">
              <w:rPr>
                <w:sz w:val="18"/>
                <w:szCs w:val="18"/>
              </w:rPr>
              <w:t>On-road vehicles</w:t>
            </w:r>
            <w:r>
              <w:rPr>
                <w:sz w:val="18"/>
                <w:szCs w:val="18"/>
              </w:rPr>
              <w:t xml:space="preserve"> (incl. transit)</w:t>
            </w:r>
          </w:p>
        </w:tc>
        <w:tc>
          <w:tcPr>
            <w:tcW w:w="1038" w:type="dxa"/>
          </w:tcPr>
          <w:p w14:paraId="195EAF49" w14:textId="195CBA4C"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Segoe UI" w:hAnsi="Segoe UI" w:cs="Segoe UI"/>
                <w:color w:val="000000"/>
                <w:sz w:val="18"/>
                <w:szCs w:val="18"/>
              </w:rPr>
              <w:t>30%</w:t>
            </w:r>
          </w:p>
        </w:tc>
        <w:tc>
          <w:tcPr>
            <w:tcW w:w="1299" w:type="dxa"/>
          </w:tcPr>
          <w:p w14:paraId="5BBD43E7" w14:textId="0968ED2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1243DB">
              <w:rPr>
                <w:sz w:val="18"/>
                <w:szCs w:val="18"/>
              </w:rPr>
              <w:sym w:font="Wingdings" w:char="F0FC"/>
            </w:r>
          </w:p>
        </w:tc>
        <w:tc>
          <w:tcPr>
            <w:tcW w:w="1620" w:type="dxa"/>
          </w:tcPr>
          <w:p w14:paraId="06E2DFD8"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5" w:type="dxa"/>
          </w:tcPr>
          <w:p w14:paraId="48B21CA9"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2" w:type="dxa"/>
          </w:tcPr>
          <w:p w14:paraId="74026C43"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28" w:type="dxa"/>
          </w:tcPr>
          <w:p w14:paraId="1C00439F"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E0457" w:rsidRPr="001243DB" w14:paraId="6AE867BA" w14:textId="77777777" w:rsidTr="00CE0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121B6D47" w14:textId="77777777" w:rsidR="00CE0457" w:rsidRPr="001243DB" w:rsidRDefault="00CE0457" w:rsidP="00CE0457">
            <w:pPr>
              <w:spacing w:after="0"/>
              <w:contextualSpacing/>
              <w:rPr>
                <w:sz w:val="18"/>
                <w:szCs w:val="18"/>
              </w:rPr>
            </w:pPr>
            <w:r>
              <w:rPr>
                <w:sz w:val="18"/>
                <w:szCs w:val="18"/>
              </w:rPr>
              <w:t>Rail</w:t>
            </w:r>
          </w:p>
        </w:tc>
        <w:tc>
          <w:tcPr>
            <w:tcW w:w="1038" w:type="dxa"/>
          </w:tcPr>
          <w:p w14:paraId="5BDB5FE6" w14:textId="3BDC71F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Segoe UI" w:hAnsi="Segoe UI" w:cs="Segoe UI"/>
                <w:color w:val="000000"/>
                <w:sz w:val="18"/>
                <w:szCs w:val="18"/>
              </w:rPr>
              <w:t>0.4%</w:t>
            </w:r>
          </w:p>
        </w:tc>
        <w:tc>
          <w:tcPr>
            <w:tcW w:w="1299" w:type="dxa"/>
          </w:tcPr>
          <w:p w14:paraId="413BFC68" w14:textId="60774D3F"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620" w:type="dxa"/>
          </w:tcPr>
          <w:p w14:paraId="354F03CA"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1243DB">
              <w:rPr>
                <w:sz w:val="18"/>
                <w:szCs w:val="18"/>
              </w:rPr>
              <w:sym w:font="Wingdings" w:char="F0FC"/>
            </w:r>
          </w:p>
        </w:tc>
        <w:tc>
          <w:tcPr>
            <w:tcW w:w="1415" w:type="dxa"/>
          </w:tcPr>
          <w:p w14:paraId="33512657"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2" w:type="dxa"/>
          </w:tcPr>
          <w:p w14:paraId="4B3895CC"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28" w:type="dxa"/>
          </w:tcPr>
          <w:p w14:paraId="54D783CE"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E0457" w:rsidRPr="001243DB" w14:paraId="48C40830" w14:textId="77777777" w:rsidTr="00CE0457">
        <w:tc>
          <w:tcPr>
            <w:cnfStyle w:val="001000000000" w:firstRow="0" w:lastRow="0" w:firstColumn="1" w:lastColumn="0" w:oddVBand="0" w:evenVBand="0" w:oddHBand="0" w:evenHBand="0" w:firstRowFirstColumn="0" w:firstRowLastColumn="0" w:lastRowFirstColumn="0" w:lastRowLastColumn="0"/>
            <w:tcW w:w="1888" w:type="dxa"/>
          </w:tcPr>
          <w:p w14:paraId="70E02801" w14:textId="77777777" w:rsidR="00CE0457" w:rsidRPr="001243DB" w:rsidRDefault="00CE0457" w:rsidP="00CE0457">
            <w:pPr>
              <w:spacing w:after="0"/>
              <w:contextualSpacing/>
              <w:rPr>
                <w:sz w:val="18"/>
                <w:szCs w:val="18"/>
              </w:rPr>
            </w:pPr>
            <w:r>
              <w:rPr>
                <w:sz w:val="18"/>
                <w:szCs w:val="18"/>
              </w:rPr>
              <w:t>Marine vessels</w:t>
            </w:r>
          </w:p>
        </w:tc>
        <w:tc>
          <w:tcPr>
            <w:tcW w:w="1038" w:type="dxa"/>
          </w:tcPr>
          <w:p w14:paraId="772E92CD" w14:textId="130CDDFC"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Segoe UI" w:hAnsi="Segoe UI" w:cs="Segoe UI"/>
                <w:color w:val="000000"/>
                <w:sz w:val="18"/>
                <w:szCs w:val="18"/>
              </w:rPr>
              <w:t>1%</w:t>
            </w:r>
          </w:p>
        </w:tc>
        <w:tc>
          <w:tcPr>
            <w:tcW w:w="1299" w:type="dxa"/>
          </w:tcPr>
          <w:p w14:paraId="626B9BAF" w14:textId="09FAD79F"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20" w:type="dxa"/>
          </w:tcPr>
          <w:p w14:paraId="55406303"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1243DB">
              <w:rPr>
                <w:sz w:val="18"/>
                <w:szCs w:val="18"/>
              </w:rPr>
              <w:sym w:font="Wingdings" w:char="F0FC"/>
            </w:r>
          </w:p>
        </w:tc>
        <w:tc>
          <w:tcPr>
            <w:tcW w:w="1415" w:type="dxa"/>
          </w:tcPr>
          <w:p w14:paraId="22234D26"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2" w:type="dxa"/>
          </w:tcPr>
          <w:p w14:paraId="3F53633A"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28" w:type="dxa"/>
          </w:tcPr>
          <w:p w14:paraId="7D12794A"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E0457" w:rsidRPr="001243DB" w14:paraId="1EA5955E" w14:textId="77777777" w:rsidTr="00CE0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237B0077" w14:textId="77777777" w:rsidR="00CE0457" w:rsidRPr="001243DB" w:rsidRDefault="00CE0457" w:rsidP="00CE0457">
            <w:pPr>
              <w:spacing w:after="0"/>
              <w:contextualSpacing/>
              <w:rPr>
                <w:sz w:val="18"/>
                <w:szCs w:val="18"/>
              </w:rPr>
            </w:pPr>
            <w:r>
              <w:rPr>
                <w:sz w:val="18"/>
                <w:szCs w:val="18"/>
              </w:rPr>
              <w:t>Solid waste</w:t>
            </w:r>
          </w:p>
        </w:tc>
        <w:tc>
          <w:tcPr>
            <w:tcW w:w="1038" w:type="dxa"/>
          </w:tcPr>
          <w:p w14:paraId="5712C24A" w14:textId="6FACCA6F"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Segoe UI" w:hAnsi="Segoe UI" w:cs="Segoe UI"/>
                <w:color w:val="000000"/>
                <w:sz w:val="18"/>
                <w:szCs w:val="18"/>
              </w:rPr>
              <w:t>1%</w:t>
            </w:r>
          </w:p>
        </w:tc>
        <w:tc>
          <w:tcPr>
            <w:tcW w:w="1299" w:type="dxa"/>
          </w:tcPr>
          <w:p w14:paraId="40CDA5B4" w14:textId="50C2AA79"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1243DB">
              <w:rPr>
                <w:sz w:val="18"/>
                <w:szCs w:val="18"/>
              </w:rPr>
              <w:sym w:font="Wingdings" w:char="F0FC"/>
            </w:r>
          </w:p>
        </w:tc>
        <w:tc>
          <w:tcPr>
            <w:tcW w:w="1620" w:type="dxa"/>
          </w:tcPr>
          <w:p w14:paraId="2C5AC761"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5" w:type="dxa"/>
          </w:tcPr>
          <w:p w14:paraId="319F97AD"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2" w:type="dxa"/>
          </w:tcPr>
          <w:p w14:paraId="528A8D9B"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28" w:type="dxa"/>
          </w:tcPr>
          <w:p w14:paraId="28675145"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E0457" w:rsidRPr="001243DB" w14:paraId="2845B834" w14:textId="77777777" w:rsidTr="00CE0457">
        <w:tc>
          <w:tcPr>
            <w:cnfStyle w:val="001000000000" w:firstRow="0" w:lastRow="0" w:firstColumn="1" w:lastColumn="0" w:oddVBand="0" w:evenVBand="0" w:oddHBand="0" w:evenHBand="0" w:firstRowFirstColumn="0" w:firstRowLastColumn="0" w:lastRowFirstColumn="0" w:lastRowLastColumn="0"/>
            <w:tcW w:w="1888" w:type="dxa"/>
          </w:tcPr>
          <w:p w14:paraId="515FEDB2" w14:textId="77777777" w:rsidR="00CE0457" w:rsidRPr="001243DB" w:rsidRDefault="00CE0457" w:rsidP="00CE0457">
            <w:pPr>
              <w:spacing w:after="0"/>
              <w:contextualSpacing/>
              <w:rPr>
                <w:sz w:val="18"/>
                <w:szCs w:val="18"/>
              </w:rPr>
            </w:pPr>
            <w:r>
              <w:rPr>
                <w:sz w:val="18"/>
                <w:szCs w:val="18"/>
              </w:rPr>
              <w:t>Potable water</w:t>
            </w:r>
          </w:p>
        </w:tc>
        <w:tc>
          <w:tcPr>
            <w:tcW w:w="1038" w:type="dxa"/>
          </w:tcPr>
          <w:p w14:paraId="795FFF7B" w14:textId="038A1BA5"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Segoe UI" w:hAnsi="Segoe UI" w:cs="Segoe UI"/>
                <w:color w:val="000000"/>
                <w:sz w:val="18"/>
                <w:szCs w:val="18"/>
              </w:rPr>
              <w:t>0.004%</w:t>
            </w:r>
          </w:p>
        </w:tc>
        <w:tc>
          <w:tcPr>
            <w:tcW w:w="1299" w:type="dxa"/>
          </w:tcPr>
          <w:p w14:paraId="682EA87E" w14:textId="05B4850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620" w:type="dxa"/>
          </w:tcPr>
          <w:p w14:paraId="6102DA04"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1243DB">
              <w:rPr>
                <w:sz w:val="18"/>
                <w:szCs w:val="18"/>
              </w:rPr>
              <w:sym w:font="Wingdings" w:char="F0FC"/>
            </w:r>
          </w:p>
        </w:tc>
        <w:tc>
          <w:tcPr>
            <w:tcW w:w="1415" w:type="dxa"/>
          </w:tcPr>
          <w:p w14:paraId="4572A90A"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2" w:type="dxa"/>
          </w:tcPr>
          <w:p w14:paraId="5ACBB973"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28" w:type="dxa"/>
          </w:tcPr>
          <w:p w14:paraId="5496624B"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E0457" w:rsidRPr="001243DB" w14:paraId="151EA9E9" w14:textId="77777777" w:rsidTr="00CE0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15B87E62" w14:textId="77777777" w:rsidR="00CE0457" w:rsidRPr="001243DB" w:rsidRDefault="00CE0457" w:rsidP="00CE0457">
            <w:pPr>
              <w:spacing w:after="0"/>
              <w:contextualSpacing/>
              <w:rPr>
                <w:sz w:val="18"/>
                <w:szCs w:val="18"/>
              </w:rPr>
            </w:pPr>
            <w:r>
              <w:rPr>
                <w:sz w:val="18"/>
                <w:szCs w:val="18"/>
              </w:rPr>
              <w:t>Wastewater</w:t>
            </w:r>
          </w:p>
        </w:tc>
        <w:tc>
          <w:tcPr>
            <w:tcW w:w="1038" w:type="dxa"/>
          </w:tcPr>
          <w:p w14:paraId="0E30D063" w14:textId="65B803C5"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Segoe UI" w:hAnsi="Segoe UI" w:cs="Segoe UI"/>
                <w:color w:val="000000"/>
                <w:sz w:val="18"/>
                <w:szCs w:val="18"/>
              </w:rPr>
              <w:t>0.4%</w:t>
            </w:r>
          </w:p>
        </w:tc>
        <w:tc>
          <w:tcPr>
            <w:tcW w:w="1299" w:type="dxa"/>
          </w:tcPr>
          <w:p w14:paraId="61D520C2" w14:textId="72D91CBF"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1243DB">
              <w:rPr>
                <w:sz w:val="18"/>
                <w:szCs w:val="18"/>
              </w:rPr>
              <w:sym w:font="Wingdings" w:char="F0FC"/>
            </w:r>
          </w:p>
        </w:tc>
        <w:tc>
          <w:tcPr>
            <w:tcW w:w="1620" w:type="dxa"/>
          </w:tcPr>
          <w:p w14:paraId="4856A44B"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5" w:type="dxa"/>
          </w:tcPr>
          <w:p w14:paraId="3EE9A7B7"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2" w:type="dxa"/>
          </w:tcPr>
          <w:p w14:paraId="24D3E27C"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28" w:type="dxa"/>
          </w:tcPr>
          <w:p w14:paraId="6FA48211"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E0457" w:rsidRPr="001243DB" w14:paraId="5DFE7F3D" w14:textId="77777777" w:rsidTr="00CE0457">
        <w:tc>
          <w:tcPr>
            <w:cnfStyle w:val="001000000000" w:firstRow="0" w:lastRow="0" w:firstColumn="1" w:lastColumn="0" w:oddVBand="0" w:evenVBand="0" w:oddHBand="0" w:evenHBand="0" w:firstRowFirstColumn="0" w:firstRowLastColumn="0" w:lastRowFirstColumn="0" w:lastRowLastColumn="0"/>
            <w:tcW w:w="1888" w:type="dxa"/>
          </w:tcPr>
          <w:p w14:paraId="5468FA21" w14:textId="77777777" w:rsidR="00CE0457" w:rsidRPr="001243DB" w:rsidRDefault="00CE0457" w:rsidP="00CE0457">
            <w:pPr>
              <w:spacing w:after="0"/>
              <w:contextualSpacing/>
              <w:rPr>
                <w:sz w:val="18"/>
                <w:szCs w:val="18"/>
              </w:rPr>
            </w:pPr>
            <w:r>
              <w:rPr>
                <w:sz w:val="18"/>
                <w:szCs w:val="18"/>
              </w:rPr>
              <w:t>Agriculture</w:t>
            </w:r>
          </w:p>
        </w:tc>
        <w:tc>
          <w:tcPr>
            <w:tcW w:w="1038" w:type="dxa"/>
          </w:tcPr>
          <w:p w14:paraId="6AB93A4E" w14:textId="51F617C6"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Segoe UI" w:hAnsi="Segoe UI" w:cs="Segoe UI"/>
                <w:color w:val="000000"/>
                <w:sz w:val="18"/>
                <w:szCs w:val="18"/>
              </w:rPr>
              <w:t>1%</w:t>
            </w:r>
          </w:p>
        </w:tc>
        <w:tc>
          <w:tcPr>
            <w:tcW w:w="1299" w:type="dxa"/>
          </w:tcPr>
          <w:p w14:paraId="5A509D74" w14:textId="01B72954"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1243DB">
              <w:rPr>
                <w:sz w:val="18"/>
                <w:szCs w:val="18"/>
              </w:rPr>
              <w:sym w:font="Wingdings" w:char="F0FC"/>
            </w:r>
          </w:p>
        </w:tc>
        <w:tc>
          <w:tcPr>
            <w:tcW w:w="1620" w:type="dxa"/>
          </w:tcPr>
          <w:p w14:paraId="61B54055"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5" w:type="dxa"/>
          </w:tcPr>
          <w:p w14:paraId="0171EAE1"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2" w:type="dxa"/>
          </w:tcPr>
          <w:p w14:paraId="0A4C5FBB"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28" w:type="dxa"/>
          </w:tcPr>
          <w:p w14:paraId="2F013FEF"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E0457" w:rsidRPr="001243DB" w14:paraId="4471A6D6" w14:textId="77777777" w:rsidTr="00CE0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14:paraId="195E202F" w14:textId="77777777" w:rsidR="00CE0457" w:rsidRDefault="00CE0457" w:rsidP="00CE0457">
            <w:pPr>
              <w:spacing w:after="0"/>
              <w:contextualSpacing/>
              <w:rPr>
                <w:sz w:val="18"/>
                <w:szCs w:val="18"/>
              </w:rPr>
            </w:pPr>
            <w:r>
              <w:rPr>
                <w:sz w:val="18"/>
                <w:szCs w:val="18"/>
              </w:rPr>
              <w:t>Soil management</w:t>
            </w:r>
          </w:p>
        </w:tc>
        <w:tc>
          <w:tcPr>
            <w:tcW w:w="1038" w:type="dxa"/>
          </w:tcPr>
          <w:p w14:paraId="197BE338" w14:textId="7A34C6C1"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Segoe UI" w:hAnsi="Segoe UI" w:cs="Segoe UI"/>
                <w:color w:val="000000"/>
                <w:sz w:val="18"/>
                <w:szCs w:val="18"/>
              </w:rPr>
              <w:t>N/A*</w:t>
            </w:r>
          </w:p>
        </w:tc>
        <w:tc>
          <w:tcPr>
            <w:tcW w:w="1299" w:type="dxa"/>
          </w:tcPr>
          <w:p w14:paraId="4B0558B5" w14:textId="31515D7A"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620" w:type="dxa"/>
          </w:tcPr>
          <w:p w14:paraId="2728E2FC"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1243DB">
              <w:rPr>
                <w:sz w:val="18"/>
                <w:szCs w:val="18"/>
              </w:rPr>
              <w:sym w:font="Wingdings" w:char="F0FC"/>
            </w:r>
          </w:p>
        </w:tc>
        <w:tc>
          <w:tcPr>
            <w:tcW w:w="1415" w:type="dxa"/>
          </w:tcPr>
          <w:p w14:paraId="66989F1B"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2" w:type="dxa"/>
          </w:tcPr>
          <w:p w14:paraId="081CCC8B"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28" w:type="dxa"/>
          </w:tcPr>
          <w:p w14:paraId="53DF9C07" w14:textId="77777777" w:rsidR="00CE0457" w:rsidRPr="001243DB" w:rsidRDefault="00CE0457" w:rsidP="00CE0457">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E0457" w:rsidRPr="001243DB" w14:paraId="7227B552" w14:textId="77777777" w:rsidTr="00CE0457">
        <w:tc>
          <w:tcPr>
            <w:cnfStyle w:val="001000000000" w:firstRow="0" w:lastRow="0" w:firstColumn="1" w:lastColumn="0" w:oddVBand="0" w:evenVBand="0" w:oddHBand="0" w:evenHBand="0" w:firstRowFirstColumn="0" w:firstRowLastColumn="0" w:lastRowFirstColumn="0" w:lastRowLastColumn="0"/>
            <w:tcW w:w="1888" w:type="dxa"/>
          </w:tcPr>
          <w:p w14:paraId="571A47F7" w14:textId="77777777" w:rsidR="00CE0457" w:rsidRDefault="00CE0457" w:rsidP="00CE0457">
            <w:pPr>
              <w:spacing w:after="0"/>
              <w:contextualSpacing/>
              <w:rPr>
                <w:sz w:val="18"/>
                <w:szCs w:val="18"/>
              </w:rPr>
            </w:pPr>
            <w:r>
              <w:rPr>
                <w:sz w:val="18"/>
                <w:szCs w:val="18"/>
              </w:rPr>
              <w:t>Residential development</w:t>
            </w:r>
          </w:p>
        </w:tc>
        <w:tc>
          <w:tcPr>
            <w:tcW w:w="1038" w:type="dxa"/>
          </w:tcPr>
          <w:p w14:paraId="6C2C9CA7" w14:textId="55B9D5AB"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Segoe UI" w:hAnsi="Segoe UI" w:cs="Segoe UI"/>
                <w:color w:val="000000"/>
                <w:sz w:val="18"/>
                <w:szCs w:val="18"/>
              </w:rPr>
              <w:t>N/A*</w:t>
            </w:r>
          </w:p>
        </w:tc>
        <w:tc>
          <w:tcPr>
            <w:tcW w:w="1299" w:type="dxa"/>
          </w:tcPr>
          <w:p w14:paraId="2647C1F9" w14:textId="40C8A346"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1243DB">
              <w:rPr>
                <w:sz w:val="18"/>
                <w:szCs w:val="18"/>
              </w:rPr>
              <w:sym w:font="Wingdings" w:char="F0FC"/>
            </w:r>
          </w:p>
        </w:tc>
        <w:tc>
          <w:tcPr>
            <w:tcW w:w="1620" w:type="dxa"/>
          </w:tcPr>
          <w:p w14:paraId="29E92EDF"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5" w:type="dxa"/>
          </w:tcPr>
          <w:p w14:paraId="71B7EA70"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2" w:type="dxa"/>
          </w:tcPr>
          <w:p w14:paraId="37A9CB31"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28" w:type="dxa"/>
          </w:tcPr>
          <w:p w14:paraId="07E4DE10" w14:textId="77777777" w:rsidR="00CE0457" w:rsidRPr="001243DB" w:rsidRDefault="00CE0457" w:rsidP="00CE0457">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14:paraId="546221EA" w14:textId="7405DE05" w:rsidR="002D26A2" w:rsidRPr="00C36A1D" w:rsidRDefault="00C36A1D" w:rsidP="00C36A1D">
      <w:pPr>
        <w:spacing w:before="0"/>
        <w:rPr>
          <w:i/>
        </w:rPr>
      </w:pPr>
      <w:r w:rsidRPr="00C36A1D">
        <w:rPr>
          <w:i/>
        </w:rPr>
        <w:t>*Supplementary emissions are not included in the "Core</w:t>
      </w:r>
      <w:r w:rsidR="00ED7496">
        <w:rPr>
          <w:i/>
        </w:rPr>
        <w:t xml:space="preserve"> + Production" inventory total.</w:t>
      </w:r>
    </w:p>
    <w:p w14:paraId="53BBDDA8" w14:textId="7115DB76" w:rsidR="002D26A2" w:rsidRDefault="00C36A1D" w:rsidP="002D26A2">
      <w:r>
        <w:t>Overall, the major emissions categories for King County—electricity, natural gas, and on-road vehicles—are sensitive to local conditions. Once exception is line loss estimations for electricity, which adds 8% to total electricity emissions and is based on regional grid estimates. Collectively,</w:t>
      </w:r>
      <w:r w:rsidR="00EB2C4E">
        <w:t xml:space="preserve"> these categories account for 89</w:t>
      </w:r>
      <w:r>
        <w:t>% of King County’s 2015 emissions.</w:t>
      </w:r>
      <w:r w:rsidR="00ED7496">
        <w:t xml:space="preserve"> </w:t>
      </w:r>
    </w:p>
    <w:p w14:paraId="64BFA275" w14:textId="5D5239EE" w:rsidR="00ED7496" w:rsidRPr="00AD7D06" w:rsidRDefault="00ED7496" w:rsidP="002D26A2">
      <w:r>
        <w:t>The largest emissions source that may not be sensitive to local conditions is non-road equipment/vehicles, which makes up 5% of King County’s total 2015 emissions.</w:t>
      </w:r>
    </w:p>
    <w:p w14:paraId="69335317" w14:textId="77777777" w:rsidR="002D26A2" w:rsidRPr="00E14BC4" w:rsidRDefault="002D26A2" w:rsidP="002D26A2">
      <w:pPr>
        <w:pStyle w:val="Heading2"/>
      </w:pPr>
      <w:bookmarkStart w:id="58" w:name="_Toc493104906"/>
      <w:r>
        <w:lastRenderedPageBreak/>
        <w:t>Sensitivity, by Sector</w:t>
      </w:r>
      <w:bookmarkEnd w:id="58"/>
    </w:p>
    <w:p w14:paraId="71078A1F" w14:textId="77777777" w:rsidR="002D26A2" w:rsidRPr="00B32418" w:rsidRDefault="002D26A2" w:rsidP="002D26A2">
      <w:pPr>
        <w:pStyle w:val="Heading3"/>
      </w:pPr>
      <w:r w:rsidRPr="00B32418">
        <w:t>Residential</w:t>
      </w:r>
    </w:p>
    <w:p w14:paraId="494AAF43" w14:textId="77777777" w:rsidR="002D26A2" w:rsidRDefault="002D26A2" w:rsidP="002D26A2">
      <w:r w:rsidRPr="00B32418">
        <w:rPr>
          <w:b/>
        </w:rPr>
        <w:t>Electricity</w:t>
      </w:r>
      <w:r>
        <w:t xml:space="preserve"> emissions data is derived from emission factors and consumption data for two local providers, Seattle City Light and Puget Sound Energy, and are thus sensitive to local changes in fuel mix and electricity use. Line loss estimations, however, are based on regional values, and thus overall electricity emissions are mixed in their sensitivity to local conditions. </w:t>
      </w:r>
    </w:p>
    <w:p w14:paraId="51327BAD" w14:textId="77777777" w:rsidR="002D26A2" w:rsidRDefault="002D26A2" w:rsidP="002D26A2">
      <w:r>
        <w:t xml:space="preserve">Emissions associated with </w:t>
      </w:r>
      <w:r w:rsidRPr="00B32418">
        <w:rPr>
          <w:b/>
        </w:rPr>
        <w:t>natural gas</w:t>
      </w:r>
      <w:r>
        <w:t xml:space="preserve"> are calculated with a nationally derived emissions factor and local usage data provided by PSE. These numbers are </w:t>
      </w:r>
      <w:r w:rsidRPr="00B32418">
        <w:rPr>
          <w:b/>
        </w:rPr>
        <w:t>sensitive</w:t>
      </w:r>
      <w:r>
        <w:t xml:space="preserve"> to local activity.</w:t>
      </w:r>
    </w:p>
    <w:p w14:paraId="18BF69A0" w14:textId="77777777" w:rsidR="002D26A2" w:rsidRDefault="002D26A2" w:rsidP="002D26A2">
      <w:r w:rsidRPr="00B32418">
        <w:rPr>
          <w:b/>
        </w:rPr>
        <w:t>Petroleum heating</w:t>
      </w:r>
      <w:r>
        <w:t xml:space="preserve"> emissions are derived from a statewide value of oil-heated homes that is scaled to King County by population and a national emissions factor. These numbers are </w:t>
      </w:r>
      <w:r w:rsidRPr="00B32418">
        <w:rPr>
          <w:b/>
        </w:rPr>
        <w:t>not sensitive</w:t>
      </w:r>
      <w:r>
        <w:t xml:space="preserve"> to local activity.</w:t>
      </w:r>
    </w:p>
    <w:p w14:paraId="0243E76F" w14:textId="77777777" w:rsidR="002D26A2" w:rsidRDefault="002D26A2" w:rsidP="002D26A2">
      <w:r w:rsidRPr="00B32418">
        <w:rPr>
          <w:b/>
        </w:rPr>
        <w:t>Petroleum (non-road)</w:t>
      </w:r>
      <w:r>
        <w:t xml:space="preserve"> emissions are derived from the EPA NONROAD model, which calculates emissions based on a nationally built model that provides county-specific outputs. It is </w:t>
      </w:r>
      <w:r w:rsidRPr="000E13BF">
        <w:rPr>
          <w:b/>
        </w:rPr>
        <w:t>unknown</w:t>
      </w:r>
      <w:r>
        <w:t xml:space="preserve"> the extent to which these outputs are </w:t>
      </w:r>
      <w:r w:rsidRPr="000E13BF">
        <w:t xml:space="preserve">sensitive </w:t>
      </w:r>
      <w:r>
        <w:t xml:space="preserve">to local activity or fuel mix. </w:t>
      </w:r>
    </w:p>
    <w:p w14:paraId="02124BAB" w14:textId="77777777" w:rsidR="002D26A2" w:rsidRDefault="002D26A2" w:rsidP="002D26A2">
      <w:pPr>
        <w:pStyle w:val="Heading3"/>
      </w:pPr>
      <w:r>
        <w:t>Commercial</w:t>
      </w:r>
    </w:p>
    <w:p w14:paraId="12ED9766" w14:textId="77777777" w:rsidR="002D26A2" w:rsidRDefault="002D26A2" w:rsidP="002D26A2">
      <w:r w:rsidRPr="00B32418">
        <w:rPr>
          <w:b/>
        </w:rPr>
        <w:t>Electricity</w:t>
      </w:r>
      <w:r>
        <w:t xml:space="preserve"> emissions data is derived from emission factors and consumption data for two local providers, Seattle City Light and Puget Sound Energy, and are thus sensitive to local changes in fuel mix and electricity use. Line loss estimations, however, are based on regional values, and thus overall electricity emissions are mixed in their sensitivity to local conditions. </w:t>
      </w:r>
    </w:p>
    <w:p w14:paraId="3FD5D7FA" w14:textId="77777777" w:rsidR="002D26A2" w:rsidRDefault="002D26A2" w:rsidP="002D26A2">
      <w:r>
        <w:t xml:space="preserve">Emissions associated with </w:t>
      </w:r>
      <w:r w:rsidRPr="00B32418">
        <w:rPr>
          <w:b/>
        </w:rPr>
        <w:t>natural gas</w:t>
      </w:r>
      <w:r>
        <w:rPr>
          <w:b/>
        </w:rPr>
        <w:t xml:space="preserve"> heating</w:t>
      </w:r>
      <w:r>
        <w:t xml:space="preserve"> are calculated with a nationally derived emissions factor and local usage data provided by PSE. These numbers are </w:t>
      </w:r>
      <w:r w:rsidRPr="00B32418">
        <w:rPr>
          <w:b/>
        </w:rPr>
        <w:t>sensitive</w:t>
      </w:r>
      <w:r>
        <w:t xml:space="preserve"> to local activity.</w:t>
      </w:r>
    </w:p>
    <w:p w14:paraId="09CB5F52" w14:textId="77777777" w:rsidR="002D26A2" w:rsidRDefault="002D26A2" w:rsidP="002D26A2">
      <w:r>
        <w:rPr>
          <w:b/>
        </w:rPr>
        <w:t>Natural gas</w:t>
      </w:r>
      <w:r w:rsidRPr="00B32418">
        <w:rPr>
          <w:b/>
        </w:rPr>
        <w:t xml:space="preserve"> </w:t>
      </w:r>
      <w:r>
        <w:rPr>
          <w:b/>
        </w:rPr>
        <w:t>equipment</w:t>
      </w:r>
      <w:r>
        <w:t xml:space="preserve"> emissions are derived from the EPA NONROAD model, which calculates emissions based on a nationally built model that provides county-specific outputs. It is </w:t>
      </w:r>
      <w:r w:rsidRPr="000E13BF">
        <w:rPr>
          <w:b/>
        </w:rPr>
        <w:t>unknown</w:t>
      </w:r>
      <w:r>
        <w:t xml:space="preserve"> the extent to which these outputs are </w:t>
      </w:r>
      <w:r w:rsidRPr="000E13BF">
        <w:t>sensitive</w:t>
      </w:r>
      <w:r>
        <w:t xml:space="preserve"> to local conditions or fuel mix.</w:t>
      </w:r>
    </w:p>
    <w:p w14:paraId="5A14715A" w14:textId="77777777" w:rsidR="002D26A2" w:rsidRDefault="002D26A2" w:rsidP="002D26A2">
      <w:r w:rsidRPr="00B32418">
        <w:rPr>
          <w:b/>
        </w:rPr>
        <w:t>Petroleum heating</w:t>
      </w:r>
      <w:r>
        <w:t xml:space="preserve"> emissions are derived from a statewide value of oil-heated homes that is scaled to King County by population and a national emissions factor. These numbers are </w:t>
      </w:r>
      <w:r w:rsidRPr="00B32418">
        <w:rPr>
          <w:b/>
        </w:rPr>
        <w:t>not sensitive</w:t>
      </w:r>
      <w:r>
        <w:t xml:space="preserve"> to local activity.</w:t>
      </w:r>
    </w:p>
    <w:p w14:paraId="009F2607" w14:textId="77777777" w:rsidR="002D26A2" w:rsidRDefault="002D26A2" w:rsidP="002D26A2">
      <w:r>
        <w:rPr>
          <w:b/>
        </w:rPr>
        <w:t>Petroleum</w:t>
      </w:r>
      <w:r w:rsidRPr="00B32418">
        <w:rPr>
          <w:b/>
        </w:rPr>
        <w:t xml:space="preserve"> </w:t>
      </w:r>
      <w:r>
        <w:rPr>
          <w:b/>
        </w:rPr>
        <w:t>equipment</w:t>
      </w:r>
      <w:r>
        <w:t xml:space="preserve"> emissions are derived from the EPA NONROAD model, which calculates emissions based on a nationally built model that provides county-specific outputs. It is</w:t>
      </w:r>
      <w:r w:rsidRPr="000E13BF">
        <w:rPr>
          <w:b/>
        </w:rPr>
        <w:t xml:space="preserve"> unknown</w:t>
      </w:r>
      <w:r>
        <w:t xml:space="preserve"> the extent to which these outputs are </w:t>
      </w:r>
      <w:r w:rsidRPr="000E13BF">
        <w:t>sensitive</w:t>
      </w:r>
      <w:r>
        <w:t xml:space="preserve"> to local activity or fuel mix.</w:t>
      </w:r>
    </w:p>
    <w:p w14:paraId="74828493" w14:textId="77777777" w:rsidR="002D26A2" w:rsidRDefault="002D26A2" w:rsidP="002D26A2">
      <w:r>
        <w:rPr>
          <w:b/>
        </w:rPr>
        <w:t xml:space="preserve">Steam </w:t>
      </w:r>
      <w:r>
        <w:t xml:space="preserve">emissions from </w:t>
      </w:r>
      <w:proofErr w:type="spellStart"/>
      <w:r>
        <w:t>Enwave</w:t>
      </w:r>
      <w:proofErr w:type="spellEnd"/>
      <w:r>
        <w:t xml:space="preserve"> are reported to the Puget Sound Clean Air Agency. Emissions are from local data and thus are </w:t>
      </w:r>
      <w:r>
        <w:rPr>
          <w:b/>
        </w:rPr>
        <w:t xml:space="preserve">sensitive </w:t>
      </w:r>
      <w:r>
        <w:t>to local activity and fuel mix.</w:t>
      </w:r>
    </w:p>
    <w:p w14:paraId="4E24F7C9" w14:textId="77777777" w:rsidR="002D26A2" w:rsidRDefault="002D26A2" w:rsidP="002D26A2">
      <w:pPr>
        <w:pStyle w:val="Heading3"/>
      </w:pPr>
      <w:r>
        <w:lastRenderedPageBreak/>
        <w:t>Industrial</w:t>
      </w:r>
    </w:p>
    <w:p w14:paraId="7B42AD1D" w14:textId="77777777" w:rsidR="002D26A2" w:rsidRDefault="002D26A2" w:rsidP="002D26A2">
      <w:r w:rsidRPr="00B32418">
        <w:rPr>
          <w:b/>
        </w:rPr>
        <w:t>Electricity</w:t>
      </w:r>
      <w:r>
        <w:t xml:space="preserve"> emissions data is derived from emission factors and consumption data for two local providers, Seattle City Light and Puget Sound Energy, and are thus sensitive to local changes in fuel mix and electricity use. Line loss estimations, however, are based on regional values, and thus overall electricity emissions are mixed in their sensitivity to local conditions. </w:t>
      </w:r>
    </w:p>
    <w:p w14:paraId="47F81C3C" w14:textId="77777777" w:rsidR="002D26A2" w:rsidRDefault="002D26A2" w:rsidP="002D26A2">
      <w:r w:rsidRPr="00B32418">
        <w:rPr>
          <w:b/>
        </w:rPr>
        <w:t>Process Emissions</w:t>
      </w:r>
      <w:r>
        <w:rPr>
          <w:b/>
        </w:rPr>
        <w:t xml:space="preserve"> </w:t>
      </w:r>
      <w:r>
        <w:t xml:space="preserve">are associated with local manufacturing of certain products (e.g., cement, glass, steel) and are based on national emission factors and local manufacturing data. Emissions data are </w:t>
      </w:r>
      <w:r w:rsidRPr="00B32418">
        <w:rPr>
          <w:b/>
        </w:rPr>
        <w:t>sensitive</w:t>
      </w:r>
      <w:r>
        <w:t xml:space="preserve"> to local activity.</w:t>
      </w:r>
    </w:p>
    <w:p w14:paraId="145FF674" w14:textId="77777777" w:rsidR="002D26A2" w:rsidRDefault="002D26A2" w:rsidP="002D26A2">
      <w:r>
        <w:rPr>
          <w:b/>
        </w:rPr>
        <w:t xml:space="preserve">Stationary Combustion </w:t>
      </w:r>
      <w:r>
        <w:t xml:space="preserve">is based on local use of natural gas, petroleum scaled from statewide data by the proportion of industrial employees, and outputs from the EPA NONROAD model. Although the natural gas consumption is locally-specific, the petroleum and NONROAD data are not, and thus the overall reported value is </w:t>
      </w:r>
      <w:r>
        <w:rPr>
          <w:b/>
        </w:rPr>
        <w:t xml:space="preserve">not sensitive </w:t>
      </w:r>
      <w:r>
        <w:t>to local conditions.</w:t>
      </w:r>
    </w:p>
    <w:p w14:paraId="12B1C444" w14:textId="7E97B8FC" w:rsidR="00CE0457" w:rsidRDefault="00CE0457" w:rsidP="002D26A2">
      <w:r w:rsidRPr="00924179">
        <w:rPr>
          <w:b/>
        </w:rPr>
        <w:t>Fugitive gas</w:t>
      </w:r>
      <w:r>
        <w:t xml:space="preserve"> emissions are mixed. </w:t>
      </w:r>
      <w:proofErr w:type="gramStart"/>
      <w:r>
        <w:t>The majority of</w:t>
      </w:r>
      <w:proofErr w:type="gramEnd"/>
      <w:r>
        <w:t xml:space="preserve"> fugitive emissions—</w:t>
      </w:r>
      <w:r w:rsidRPr="004C00B8">
        <w:rPr>
          <w:b/>
        </w:rPr>
        <w:t>r</w:t>
      </w:r>
      <w:r w:rsidRPr="00121403">
        <w:rPr>
          <w:b/>
        </w:rPr>
        <w:t xml:space="preserve">efrigerant </w:t>
      </w:r>
      <w:r>
        <w:t xml:space="preserve">emissions—are scaled from a national value reported by the EPA, are thus </w:t>
      </w:r>
      <w:r w:rsidRPr="00121403">
        <w:t>not sensitive</w:t>
      </w:r>
      <w:r>
        <w:t xml:space="preserve"> to local activity. </w:t>
      </w:r>
      <w:r w:rsidRPr="00121403">
        <w:rPr>
          <w:b/>
        </w:rPr>
        <w:t>Switchgear insulation</w:t>
      </w:r>
      <w:r>
        <w:t xml:space="preserve"> SF</w:t>
      </w:r>
      <w:r>
        <w:rPr>
          <w:vertAlign w:val="subscript"/>
        </w:rPr>
        <w:t>6</w:t>
      </w:r>
      <w:r>
        <w:t xml:space="preserve"> emissions data, however, are based on utility-specific reporting and are thus sensitive to local conditions. Because SF</w:t>
      </w:r>
      <w:r w:rsidRPr="004C00B8">
        <w:rPr>
          <w:vertAlign w:val="subscript"/>
        </w:rPr>
        <w:t>6</w:t>
      </w:r>
      <w:r>
        <w:t>-dervied GHG emissions are relatively small, however, this sector is largely not sensitive to local conditions.</w:t>
      </w:r>
    </w:p>
    <w:p w14:paraId="407E6CA6" w14:textId="77777777" w:rsidR="002D26A2" w:rsidRDefault="002D26A2" w:rsidP="002D26A2">
      <w:pPr>
        <w:pStyle w:val="Heading3"/>
      </w:pPr>
      <w:r>
        <w:t>Transportation</w:t>
      </w:r>
    </w:p>
    <w:p w14:paraId="4D1AF219" w14:textId="77777777" w:rsidR="002D26A2" w:rsidRDefault="002D26A2" w:rsidP="002D26A2">
      <w:r>
        <w:rPr>
          <w:b/>
        </w:rPr>
        <w:t xml:space="preserve">On-road vehicle </w:t>
      </w:r>
      <w:r>
        <w:t xml:space="preserve">activity and fuel mix are county-specific and modeled by the Puget Sound Regional Council using local data. These emissions are </w:t>
      </w:r>
      <w:r>
        <w:rPr>
          <w:b/>
        </w:rPr>
        <w:t xml:space="preserve">sensitive </w:t>
      </w:r>
      <w:r>
        <w:t xml:space="preserve">to local change. </w:t>
      </w:r>
    </w:p>
    <w:p w14:paraId="1DC68219" w14:textId="77777777" w:rsidR="002D26A2" w:rsidRDefault="002D26A2" w:rsidP="002D26A2">
      <w:r>
        <w:rPr>
          <w:b/>
        </w:rPr>
        <w:t xml:space="preserve">Truck freight and service </w:t>
      </w:r>
      <w:r>
        <w:t xml:space="preserve">vehicle activity and fuel mix are modeled by the Puget Sound Regional Council using local data. These emissions are </w:t>
      </w:r>
      <w:r>
        <w:rPr>
          <w:b/>
        </w:rPr>
        <w:t xml:space="preserve">sensitive </w:t>
      </w:r>
      <w:r>
        <w:t>to local change.</w:t>
      </w:r>
    </w:p>
    <w:p w14:paraId="6379CAD4" w14:textId="77777777" w:rsidR="002D26A2" w:rsidRDefault="002D26A2" w:rsidP="002D26A2">
      <w:r>
        <w:rPr>
          <w:b/>
        </w:rPr>
        <w:t xml:space="preserve">Transit </w:t>
      </w:r>
      <w:r>
        <w:t xml:space="preserve">vehicle activity and fuel mix are derived from local fuel data and fuel mix. These emissions are </w:t>
      </w:r>
      <w:r>
        <w:rPr>
          <w:b/>
        </w:rPr>
        <w:t xml:space="preserve">sensitive </w:t>
      </w:r>
      <w:r>
        <w:t>to local change.</w:t>
      </w:r>
    </w:p>
    <w:p w14:paraId="5267075F" w14:textId="77777777" w:rsidR="002D26A2" w:rsidRDefault="002D26A2" w:rsidP="002D26A2">
      <w:r>
        <w:rPr>
          <w:b/>
        </w:rPr>
        <w:t xml:space="preserve">Freight Passenger and Rail </w:t>
      </w:r>
      <w:r>
        <w:t xml:space="preserve">data was taken from the Puget Sound Clean Air Agency (PSCAA) 2011 Maritime Air Emissions Inventory report and scaled to 2015 by tonnage. This data is based on activity data from local providers, but because of this scaling, is </w:t>
      </w:r>
      <w:r>
        <w:rPr>
          <w:b/>
        </w:rPr>
        <w:t xml:space="preserve">not sensitive </w:t>
      </w:r>
      <w:r>
        <w:t>to changing efficiency.</w:t>
      </w:r>
    </w:p>
    <w:p w14:paraId="5592B7FA" w14:textId="77777777" w:rsidR="002D26A2" w:rsidRPr="000406E7" w:rsidRDefault="002D26A2" w:rsidP="002D26A2">
      <w:r>
        <w:rPr>
          <w:b/>
        </w:rPr>
        <w:t xml:space="preserve">Marine </w:t>
      </w:r>
      <w:r>
        <w:t xml:space="preserve">data were obtained from three sources: EPA NONROAD, Washington State Department of Transportation (WSDOT), and the 2011 Puget Sound Maritime Air Emissions Inventory. It is unknown the extent to which NONROAD modeled </w:t>
      </w:r>
      <w:r w:rsidRPr="000B6A11">
        <w:rPr>
          <w:b/>
        </w:rPr>
        <w:t>pleasure craft emissions</w:t>
      </w:r>
      <w:r>
        <w:t xml:space="preserve"> are sensitive to local conditions. </w:t>
      </w:r>
      <w:r w:rsidRPr="000B6A11">
        <w:rPr>
          <w:b/>
        </w:rPr>
        <w:t>WSDOT ferry</w:t>
      </w:r>
      <w:r>
        <w:t xml:space="preserve"> fuel expenditures were used to determine ferry emissions, and thus are sensitive to local conditions. Emissions from ocean-going vessels were based on local port data, but were then scaled to 2015, and thus are not entirely reflecting of local conditions. Overall, marine emissions are mixed in their sensitivity</w:t>
      </w:r>
      <w:r>
        <w:rPr>
          <w:b/>
        </w:rPr>
        <w:t xml:space="preserve"> </w:t>
      </w:r>
      <w:r>
        <w:t>to local conditions in the target year.</w:t>
      </w:r>
    </w:p>
    <w:p w14:paraId="78A8E44F" w14:textId="77777777" w:rsidR="002D26A2" w:rsidRDefault="002D26A2" w:rsidP="002D26A2">
      <w:r>
        <w:rPr>
          <w:b/>
        </w:rPr>
        <w:lastRenderedPageBreak/>
        <w:t xml:space="preserve">Off-road vehicles and other mobile equipment </w:t>
      </w:r>
      <w:r>
        <w:t xml:space="preserve">are modeled in the EPA NONROAD model for King County. The extent to which the NONROAD model </w:t>
      </w:r>
      <w:proofErr w:type="gramStart"/>
      <w:r>
        <w:t>takes into account</w:t>
      </w:r>
      <w:proofErr w:type="gramEnd"/>
      <w:r>
        <w:t xml:space="preserve"> local conditions is unknown.</w:t>
      </w:r>
    </w:p>
    <w:p w14:paraId="024B9986" w14:textId="77777777" w:rsidR="002D26A2" w:rsidRDefault="002D26A2" w:rsidP="002D26A2">
      <w:pPr>
        <w:pStyle w:val="Heading3"/>
      </w:pPr>
      <w:r>
        <w:t>Solid Waste</w:t>
      </w:r>
    </w:p>
    <w:p w14:paraId="294D4FAC" w14:textId="77777777" w:rsidR="002D26A2" w:rsidRDefault="002D26A2" w:rsidP="002D26A2">
      <w:r>
        <w:rPr>
          <w:b/>
        </w:rPr>
        <w:t xml:space="preserve">Generation and disposal </w:t>
      </w:r>
      <w:r>
        <w:t xml:space="preserve">of solid waste were calculated by applying local waste composition and tonnage values to the EPA WARM v14 model. Emissions factors in the WARM model were modified to reflect local waste transport-related emissions and landfill methane recovery rates. These emissions are thus </w:t>
      </w:r>
      <w:r>
        <w:rPr>
          <w:b/>
        </w:rPr>
        <w:t xml:space="preserve">sensitive </w:t>
      </w:r>
      <w:r>
        <w:t>to local conditions.</w:t>
      </w:r>
    </w:p>
    <w:p w14:paraId="2D1AEE7E" w14:textId="777C7138" w:rsidR="00CE0457" w:rsidRDefault="00CE0457" w:rsidP="002D26A2">
      <w:r w:rsidRPr="00AA6030">
        <w:t>Emissions from</w:t>
      </w:r>
      <w:r>
        <w:rPr>
          <w:b/>
        </w:rPr>
        <w:t xml:space="preserve"> o</w:t>
      </w:r>
      <w:r w:rsidRPr="00924179">
        <w:rPr>
          <w:b/>
        </w:rPr>
        <w:t>peration of solid waste disposal facilities</w:t>
      </w:r>
      <w:r>
        <w:t xml:space="preserve"> are based on locally measured or modeled landfill emissions, and are thus </w:t>
      </w:r>
      <w:r w:rsidRPr="00924179">
        <w:rPr>
          <w:b/>
        </w:rPr>
        <w:t>sensitive</w:t>
      </w:r>
      <w:r>
        <w:t xml:space="preserve"> to local conditions.</w:t>
      </w:r>
    </w:p>
    <w:p w14:paraId="15F6307D" w14:textId="77777777" w:rsidR="002D26A2" w:rsidRDefault="002D26A2" w:rsidP="002D26A2">
      <w:pPr>
        <w:pStyle w:val="Heading3"/>
      </w:pPr>
      <w:r>
        <w:t>Water and Wastewater</w:t>
      </w:r>
    </w:p>
    <w:p w14:paraId="20AEDBF7" w14:textId="77777777" w:rsidR="002D26A2" w:rsidRDefault="002D26A2" w:rsidP="002D26A2">
      <w:r>
        <w:rPr>
          <w:b/>
        </w:rPr>
        <w:t xml:space="preserve">Potable water </w:t>
      </w:r>
      <w:r>
        <w:t xml:space="preserve">emissions are based on US Community Protocol assumptions of energy use per unit water consumed. Electricity emission factors and water use statistics are from local sources. Although energy use per unit water may change with time, this analysis is generally </w:t>
      </w:r>
      <w:r>
        <w:rPr>
          <w:b/>
        </w:rPr>
        <w:t xml:space="preserve">sensitive </w:t>
      </w:r>
      <w:r>
        <w:t>to local activity.</w:t>
      </w:r>
    </w:p>
    <w:p w14:paraId="6F39612E" w14:textId="77777777" w:rsidR="002D26A2" w:rsidRDefault="002D26A2" w:rsidP="002D26A2">
      <w:r>
        <w:rPr>
          <w:b/>
        </w:rPr>
        <w:t xml:space="preserve">Wastewater </w:t>
      </w:r>
      <w:r>
        <w:t xml:space="preserve">process emissions are based on local wastewater treatment facility treatment processes and population served, and are thus </w:t>
      </w:r>
      <w:r>
        <w:rPr>
          <w:b/>
        </w:rPr>
        <w:t xml:space="preserve">sensitive </w:t>
      </w:r>
      <w:r>
        <w:t>to local activity.</w:t>
      </w:r>
    </w:p>
    <w:p w14:paraId="0752025F" w14:textId="77777777" w:rsidR="002D26A2" w:rsidRDefault="002D26A2" w:rsidP="002D26A2">
      <w:pPr>
        <w:pStyle w:val="Heading3"/>
      </w:pPr>
      <w:r>
        <w:t>Agriculture</w:t>
      </w:r>
    </w:p>
    <w:p w14:paraId="7031B646" w14:textId="77777777" w:rsidR="002D26A2" w:rsidRDefault="002D26A2" w:rsidP="002D26A2">
      <w:r>
        <w:rPr>
          <w:b/>
        </w:rPr>
        <w:t xml:space="preserve">Domesticated animal </w:t>
      </w:r>
      <w:r w:rsidRPr="00E53361">
        <w:rPr>
          <w:b/>
        </w:rPr>
        <w:t xml:space="preserve">production </w:t>
      </w:r>
      <w:r>
        <w:rPr>
          <w:b/>
        </w:rPr>
        <w:t>emissions are</w:t>
      </w:r>
      <w:r>
        <w:t xml:space="preserve"> based on county animal populations measured by the US Census Bureau and nationally accepted emission factors, and is thus </w:t>
      </w:r>
      <w:r>
        <w:rPr>
          <w:b/>
        </w:rPr>
        <w:t xml:space="preserve">sensitive </w:t>
      </w:r>
      <w:r>
        <w:t xml:space="preserve">to local activity. </w:t>
      </w:r>
    </w:p>
    <w:p w14:paraId="3E2A8B5F" w14:textId="77777777" w:rsidR="002D26A2" w:rsidRDefault="002D26A2" w:rsidP="002D26A2">
      <w:r>
        <w:rPr>
          <w:b/>
        </w:rPr>
        <w:t xml:space="preserve">Manure decomposition </w:t>
      </w:r>
      <w:r>
        <w:t xml:space="preserve">emissions are based on local animal populations measured by the US Census Bureau and nationally accepted emission factors, and is thus </w:t>
      </w:r>
      <w:r>
        <w:rPr>
          <w:b/>
        </w:rPr>
        <w:t xml:space="preserve">sensitive </w:t>
      </w:r>
      <w:r>
        <w:t>to local activity.</w:t>
      </w:r>
    </w:p>
    <w:p w14:paraId="0131A3BE" w14:textId="77777777" w:rsidR="002D26A2" w:rsidRDefault="002D26A2" w:rsidP="002D26A2">
      <w:pPr>
        <w:pStyle w:val="Heading3"/>
      </w:pPr>
      <w:r>
        <w:t>Supplementary Emission Sectors</w:t>
      </w:r>
    </w:p>
    <w:p w14:paraId="45FBAD8C" w14:textId="77777777" w:rsidR="002D26A2" w:rsidRDefault="002D26A2" w:rsidP="002D26A2">
      <w:r w:rsidRPr="00924179">
        <w:rPr>
          <w:b/>
        </w:rPr>
        <w:t>Soil management</w:t>
      </w:r>
      <w:r>
        <w:t xml:space="preserve"> emissions are based on EPA emission factors and county-specific cropland statistics from the US Census Bureau. Although the emission factors are not sensitive to local conditions, the basis on county-specific activity data makes these emission values </w:t>
      </w:r>
      <w:proofErr w:type="gramStart"/>
      <w:r>
        <w:t xml:space="preserve">fairly </w:t>
      </w:r>
      <w:r w:rsidRPr="00924179">
        <w:rPr>
          <w:b/>
        </w:rPr>
        <w:t>sensitive</w:t>
      </w:r>
      <w:proofErr w:type="gramEnd"/>
      <w:r>
        <w:t xml:space="preserve"> to local conditions.</w:t>
      </w:r>
    </w:p>
    <w:p w14:paraId="633DA8C0" w14:textId="77777777" w:rsidR="002D26A2" w:rsidRDefault="002D26A2" w:rsidP="002D26A2">
      <w:r w:rsidRPr="00924179">
        <w:rPr>
          <w:b/>
        </w:rPr>
        <w:t>Residential development</w:t>
      </w:r>
      <w:r>
        <w:t xml:space="preserve"> emissions were derived from local King County data and are thus </w:t>
      </w:r>
      <w:r w:rsidRPr="00924179">
        <w:rPr>
          <w:b/>
        </w:rPr>
        <w:t>sensitive</w:t>
      </w:r>
      <w:r>
        <w:t xml:space="preserve"> to local activity. </w:t>
      </w:r>
    </w:p>
    <w:p w14:paraId="4EC26F86" w14:textId="1F04778C" w:rsidR="00970E37" w:rsidRDefault="00DF1D28" w:rsidP="00E14BC4">
      <w:pPr>
        <w:pStyle w:val="Heading1"/>
      </w:pPr>
      <w:bookmarkStart w:id="59" w:name="_Toc493104907"/>
      <w:r w:rsidRPr="00923BBF">
        <w:lastRenderedPageBreak/>
        <w:t>Consumption-</w:t>
      </w:r>
      <w:r w:rsidR="004A338F" w:rsidRPr="00923BBF">
        <w:t>B</w:t>
      </w:r>
      <w:r w:rsidRPr="00923BBF">
        <w:t>ased Inventory</w:t>
      </w:r>
      <w:bookmarkEnd w:id="59"/>
    </w:p>
    <w:p w14:paraId="12D1F91C" w14:textId="77777777" w:rsidR="00B049D0" w:rsidRDefault="00B049D0" w:rsidP="00B049D0">
      <w:pPr>
        <w:pStyle w:val="Heading2"/>
      </w:pPr>
      <w:bookmarkStart w:id="60" w:name="_Toc493104908"/>
      <w:r>
        <w:t>Methodology</w:t>
      </w:r>
      <w:bookmarkEnd w:id="60"/>
    </w:p>
    <w:p w14:paraId="1C4E666A" w14:textId="34A0664E" w:rsidR="00B049D0" w:rsidRDefault="004A338F" w:rsidP="00B049D0">
      <w:r>
        <w:t xml:space="preserve">The 2015 Consumption-Based Inventory </w:t>
      </w:r>
      <w:r w:rsidR="00B049D0">
        <w:t>is an update to the calendar year 2008 Consumption Based Emissions Inventory (CBEI) completed by Stockholm Environment Institute (SEI)</w:t>
      </w:r>
      <w:bookmarkStart w:id="61" w:name="_Ref487149028"/>
      <w:r w:rsidR="00B049D0">
        <w:rPr>
          <w:rStyle w:val="FootnoteReference"/>
        </w:rPr>
        <w:footnoteReference w:id="5"/>
      </w:r>
      <w:bookmarkEnd w:id="61"/>
      <w:r w:rsidR="00B049D0">
        <w:t>, and follows the same methodology and utilizes many of the algorithms within SEI’s CBEI Modeler, a robust Microsoft Acces</w:t>
      </w:r>
      <w:r>
        <w:t>s- and Excel-based tool set.</w:t>
      </w:r>
    </w:p>
    <w:p w14:paraId="06BBAFAD" w14:textId="77777777" w:rsidR="00B049D0" w:rsidRDefault="00B049D0" w:rsidP="00B049D0">
      <w:r>
        <w:t>The CBEI Modeler takes as input economic demand by institution type (i.e. household, government, and business) on each of 440 commodity sectors, and calculates GHG emissions by institution type, by life cycle phase (production, transport, wholesale/retail, use, and disposal), and by emission location (within King County, US outside of King County, and Foreign).</w:t>
      </w:r>
    </w:p>
    <w:p w14:paraId="694F380B" w14:textId="77777777" w:rsidR="00B049D0" w:rsidRDefault="00B049D0" w:rsidP="00B049D0">
      <w:r>
        <w:t>A detailed description of the methodology is provided by SEI in Appendix D to the 2008 King County GHG inventory report.</w:t>
      </w:r>
      <w:r w:rsidRPr="00747A3D">
        <w:rPr>
          <w:vertAlign w:val="superscript"/>
        </w:rPr>
        <w:fldChar w:fldCharType="begin"/>
      </w:r>
      <w:r w:rsidRPr="00747A3D">
        <w:rPr>
          <w:vertAlign w:val="superscript"/>
        </w:rPr>
        <w:instrText xml:space="preserve"> NOTEREF _Ref487149028 \h </w:instrText>
      </w:r>
      <w:r>
        <w:rPr>
          <w:vertAlign w:val="superscript"/>
        </w:rPr>
        <w:instrText xml:space="preserve"> \* MERGEFORMAT </w:instrText>
      </w:r>
      <w:r w:rsidRPr="00747A3D">
        <w:rPr>
          <w:vertAlign w:val="superscript"/>
        </w:rPr>
      </w:r>
      <w:r w:rsidRPr="00747A3D">
        <w:rPr>
          <w:vertAlign w:val="superscript"/>
        </w:rPr>
        <w:fldChar w:fldCharType="separate"/>
      </w:r>
      <w:r>
        <w:rPr>
          <w:vertAlign w:val="superscript"/>
        </w:rPr>
        <w:t>1</w:t>
      </w:r>
      <w:r w:rsidRPr="00747A3D">
        <w:rPr>
          <w:vertAlign w:val="superscript"/>
        </w:rPr>
        <w:fldChar w:fldCharType="end"/>
      </w:r>
    </w:p>
    <w:p w14:paraId="1F25E0AE" w14:textId="1546CD4A" w:rsidR="00B049D0" w:rsidRDefault="004A338F" w:rsidP="00B049D0">
      <w:r>
        <w:t xml:space="preserve">We </w:t>
      </w:r>
      <w:r w:rsidR="00B049D0">
        <w:t>have followed the CBEI Modeler approach and calculations as closely as possible given the available data and documentation, with several important updates incorporated to produce detailed emissions results reflective of the 2015 King County consumption and use.</w:t>
      </w:r>
    </w:p>
    <w:p w14:paraId="0B292F28" w14:textId="77777777" w:rsidR="00B049D0" w:rsidRDefault="00B049D0" w:rsidP="00B049D0">
      <w:r>
        <w:t>The primary updates are:</w:t>
      </w:r>
    </w:p>
    <w:p w14:paraId="4602D0FF" w14:textId="77777777" w:rsidR="00B049D0" w:rsidRDefault="00B049D0" w:rsidP="00F52D12">
      <w:pPr>
        <w:pStyle w:val="ListParagraph"/>
        <w:numPr>
          <w:ilvl w:val="0"/>
          <w:numId w:val="42"/>
        </w:numPr>
      </w:pPr>
      <w:r>
        <w:t xml:space="preserve">All end-use </w:t>
      </w:r>
      <w:r w:rsidRPr="00F52D12">
        <w:t>consumption</w:t>
      </w:r>
      <w:r>
        <w:t xml:space="preserve"> (purchasing) volumes in King County and the United States were updated to match </w:t>
      </w:r>
      <w:r w:rsidRPr="00F52D12">
        <w:t>known</w:t>
      </w:r>
      <w:r>
        <w:t xml:space="preserve"> quantities in 2015. The 2015 consumption data were acquired from IMPLAN</w:t>
      </w:r>
      <w:r>
        <w:rPr>
          <w:rStyle w:val="FootnoteReference"/>
        </w:rPr>
        <w:footnoteReference w:id="6"/>
      </w:r>
      <w:r>
        <w:t>, and are a principal input to the CBEI Modeler.  The data characterize commodity demand, import, and exports by institution type for each commodity sector.</w:t>
      </w:r>
    </w:p>
    <w:p w14:paraId="75189AB4" w14:textId="5C8A8B4F" w:rsidR="00B049D0" w:rsidRDefault="00B049D0" w:rsidP="004A338F">
      <w:pPr>
        <w:pStyle w:val="ListContinue"/>
        <w:ind w:left="1080"/>
      </w:pPr>
      <w:r>
        <w:t>The 2015 IMPLAN data are assigned to 536 different commodity sectors, but the CBEI Modeler is built to accommodate a 440-sector format that was current at the time of the 2008 inventory</w:t>
      </w:r>
      <w:r>
        <w:rPr>
          <w:rStyle w:val="FootnoteReference"/>
        </w:rPr>
        <w:footnoteReference w:id="7"/>
      </w:r>
      <w:r>
        <w:t xml:space="preserve">.  IMPLAN provided a “bridge” file that is used specifically to re-assign the new 536-sector data to the old 440-sector format.  </w:t>
      </w:r>
      <w:r w:rsidR="00262E64">
        <w:t>We</w:t>
      </w:r>
      <w:r>
        <w:t xml:space="preserve"> used the bridge file to aggregate the 536-</w:t>
      </w:r>
      <w:r>
        <w:lastRenderedPageBreak/>
        <w:t>sector data into the 440-sector scheme.  The bridge file also includes ratio values in a few cases where a new sector is split among two or more old sectors.</w:t>
      </w:r>
    </w:p>
    <w:p w14:paraId="4BF3E3F3" w14:textId="77777777" w:rsidR="00B049D0" w:rsidRDefault="00B049D0" w:rsidP="004A338F">
      <w:pPr>
        <w:pStyle w:val="ListContinue"/>
        <w:ind w:left="1080"/>
      </w:pPr>
      <w:r>
        <w:t>The 2015 IMPLAN demand data is provided in nominal 2015 dollars.  To provide comparable results, and to conform to the 2008 CBEI model and emission coefficients, the 2015 demand values have been deflated to equivalent 2008 dollars using factors provided by IMPLAN for each sector. The overall, demand-weighted deflation is approximately 9.6%.  This is consistent with published measures of inflation from 2008 to 2015</w:t>
      </w:r>
      <w:r>
        <w:rPr>
          <w:rStyle w:val="FootnoteReference"/>
        </w:rPr>
        <w:footnoteReference w:id="8"/>
      </w:r>
      <w:r>
        <w:t>.</w:t>
      </w:r>
    </w:p>
    <w:p w14:paraId="667CC528" w14:textId="050D2E40" w:rsidR="00B049D0" w:rsidRDefault="00B049D0" w:rsidP="00F52D12">
      <w:pPr>
        <w:pStyle w:val="ListParagraph"/>
        <w:numPr>
          <w:ilvl w:val="0"/>
          <w:numId w:val="42"/>
        </w:numPr>
      </w:pPr>
      <w:r>
        <w:t xml:space="preserve">End-use emissions data from the 2008 King County Geographic-Plus Emissions Inventory was replaced with emissions data from the 2015 Geographic-Plus Inventory.  End-use emissions are those </w:t>
      </w:r>
      <w:r w:rsidRPr="006A31BC">
        <w:t>from both energy consumed during the use</w:t>
      </w:r>
      <w:r>
        <w:t xml:space="preserve"> of the product by the final customer (for example gasoline for a lawn mower, or electricity for appliances) and disposal of the product (landfilling or incineration).  The 2015 geographic emissions inventory references local institution data to calculate associated emissions from product use and disposal in King County, including electricity consumption, vehicle use, heat and hot water, garden and recreation equipment, and landfilling.  </w:t>
      </w:r>
      <w:r w:rsidR="00262E64">
        <w:t xml:space="preserve">We </w:t>
      </w:r>
      <w:r>
        <w:t>referenced the results of the 2015 geographic inventory directly as input into the CBEI Modeler</w:t>
      </w:r>
      <w:bookmarkStart w:id="62" w:name="_Ref489613748"/>
      <w:r>
        <w:rPr>
          <w:rStyle w:val="FootnoteReference"/>
        </w:rPr>
        <w:footnoteReference w:id="9"/>
      </w:r>
      <w:bookmarkEnd w:id="62"/>
      <w:r>
        <w:t xml:space="preserve">.   </w:t>
      </w:r>
    </w:p>
    <w:p w14:paraId="5BA46E3D" w14:textId="77777777" w:rsidR="00B049D0" w:rsidRDefault="00B049D0" w:rsidP="00B049D0">
      <w:r>
        <w:t>Conversely, there are two places where the CBEI Modeler has not been updated:</w:t>
      </w:r>
    </w:p>
    <w:p w14:paraId="4E260AC7" w14:textId="77777777" w:rsidR="00B049D0" w:rsidRDefault="00B049D0" w:rsidP="00F52D12">
      <w:pPr>
        <w:pStyle w:val="ListParagraph"/>
        <w:numPr>
          <w:ilvl w:val="0"/>
          <w:numId w:val="43"/>
        </w:numPr>
      </w:pPr>
      <w:r>
        <w:t xml:space="preserve">The commodity multipliers have not been updated from their 2008 values.  These multipliers form the 440x440 input-output matrix, and are used to assign consumption in each commodity sector to the various emitting sectors.  A single given commodity sector will have 440 associated multipliers, which describe how demand on that sector results in </w:t>
      </w:r>
      <w:proofErr w:type="gramStart"/>
      <w:r>
        <w:t>different levels</w:t>
      </w:r>
      <w:proofErr w:type="gramEnd"/>
      <w:r>
        <w:t xml:space="preserve"> of demand on other sectors – i.e. the “upstream” demand.</w:t>
      </w:r>
    </w:p>
    <w:p w14:paraId="24784E5C" w14:textId="77777777" w:rsidR="00B049D0" w:rsidRDefault="00B049D0" w:rsidP="004A338F">
      <w:pPr>
        <w:pStyle w:val="ListContinue"/>
        <w:ind w:left="1080"/>
      </w:pPr>
      <w:r>
        <w:t>The 440 multipliers are percentages applied to the demand on a given sector (that is, the demand that has been updated using 20</w:t>
      </w:r>
      <w:r w:rsidRPr="006A31BC">
        <w:t>15 data</w:t>
      </w:r>
      <w:r>
        <w:t>)</w:t>
      </w:r>
      <w:r w:rsidRPr="006A31BC">
        <w:t xml:space="preserve">.  The </w:t>
      </w:r>
      <w:r>
        <w:t xml:space="preserve">unchanged </w:t>
      </w:r>
      <w:r w:rsidRPr="006A31BC">
        <w:t xml:space="preserve">multipliers </w:t>
      </w:r>
      <w:r>
        <w:t xml:space="preserve">will properly carry each commodity’s </w:t>
      </w:r>
      <w:r w:rsidRPr="00C12B8E">
        <w:rPr>
          <w:i/>
        </w:rPr>
        <w:t>total</w:t>
      </w:r>
      <w:r w:rsidRPr="006A31BC">
        <w:t xml:space="preserve"> </w:t>
      </w:r>
      <w:r>
        <w:t xml:space="preserve">2015 </w:t>
      </w:r>
      <w:r w:rsidRPr="006A31BC">
        <w:t xml:space="preserve">consumption </w:t>
      </w:r>
      <w:r>
        <w:t>through the analysis</w:t>
      </w:r>
      <w:r w:rsidRPr="006A31BC">
        <w:t xml:space="preserve">, but they </w:t>
      </w:r>
      <w:r>
        <w:t xml:space="preserve">will leave the </w:t>
      </w:r>
      <w:r w:rsidRPr="00C12B8E">
        <w:rPr>
          <w:i/>
        </w:rPr>
        <w:t>allocation</w:t>
      </w:r>
      <w:r w:rsidRPr="006A31BC">
        <w:t xml:space="preserve"> of that </w:t>
      </w:r>
      <w:r>
        <w:t xml:space="preserve">commodity’s consumption </w:t>
      </w:r>
      <w:r w:rsidRPr="006A31BC">
        <w:t xml:space="preserve">to the </w:t>
      </w:r>
      <w:r>
        <w:t xml:space="preserve">emitting </w:t>
      </w:r>
      <w:r w:rsidRPr="006A31BC">
        <w:t>sectors</w:t>
      </w:r>
      <w:r>
        <w:t xml:space="preserve"> as it was in 2008. By not </w:t>
      </w:r>
      <w:r>
        <w:lastRenderedPageBreak/>
        <w:t xml:space="preserve">updating the multipliers, we have </w:t>
      </w:r>
      <w:proofErr w:type="gramStart"/>
      <w:r>
        <w:t>made the assumption</w:t>
      </w:r>
      <w:proofErr w:type="gramEnd"/>
      <w:r>
        <w:t xml:space="preserve"> that in 2015 a given commodity sector relies on other industries at the same proportion as that sector did in 2008.  </w:t>
      </w:r>
    </w:p>
    <w:p w14:paraId="3662DFA3" w14:textId="77777777" w:rsidR="00B049D0" w:rsidRDefault="00B049D0" w:rsidP="00F52D12">
      <w:pPr>
        <w:pStyle w:val="ListParagraph"/>
        <w:numPr>
          <w:ilvl w:val="0"/>
          <w:numId w:val="43"/>
        </w:numPr>
      </w:pPr>
      <w:r>
        <w:t xml:space="preserve">Emissions coefficients have not been updated from their 2008 values.  The emissions coefficients translate demand (dollars) on an emitting sector, into equivalent GHG emissions.  The coefficients are unique to each commodity sector, </w:t>
      </w:r>
      <w:proofErr w:type="gramStart"/>
      <w:r>
        <w:t>and also</w:t>
      </w:r>
      <w:proofErr w:type="gramEnd"/>
      <w:r>
        <w:t xml:space="preserve"> to geography (King County, US outside of King County, and Foreign).  Since the 2015 demand values have been deflated to 2008 dollars, these coefficients remain accurate under the assumption that any given industry has not adopted new, lower-emitting technologies.</w:t>
      </w:r>
    </w:p>
    <w:p w14:paraId="0A2A3D3F" w14:textId="77777777" w:rsidR="00B049D0" w:rsidRDefault="00B049D0" w:rsidP="00B049D0">
      <w:pPr>
        <w:pStyle w:val="Heading2"/>
      </w:pPr>
      <w:bookmarkStart w:id="63" w:name="_Toc493104909"/>
      <w:r>
        <w:t>Results</w:t>
      </w:r>
      <w:bookmarkEnd w:id="63"/>
    </w:p>
    <w:p w14:paraId="117C42E0" w14:textId="1F25EAF8" w:rsidR="00B049D0" w:rsidRDefault="00B049D0" w:rsidP="00B049D0">
      <w:r>
        <w:t xml:space="preserve">Using 2015 King County commodity use and consumption data, </w:t>
      </w:r>
      <w:r w:rsidR="00262E64">
        <w:t>we</w:t>
      </w:r>
      <w:r>
        <w:t xml:space="preserve"> have calculated total, consumption-basis GHG emissions to be 58.2 million metric tons of carbon dioxide equivalent (58.2 million tCO</w:t>
      </w:r>
      <w:r w:rsidRPr="00143C6F">
        <w:rPr>
          <w:vertAlign w:val="subscript"/>
        </w:rPr>
        <w:t>2</w:t>
      </w:r>
      <w:r>
        <w:t>e).  This is calculated based on a total commodity demand of $164B (164 billion 2015 dollars) combined from King County households, government, and business in 2015.</w:t>
      </w:r>
    </w:p>
    <w:p w14:paraId="671E4C90" w14:textId="77777777" w:rsidR="00B049D0" w:rsidRDefault="00B049D0" w:rsidP="00B049D0">
      <w:r>
        <w:t>Tables 1 and 2 present the demand (in 2008 dollars) and total estimated emissions by institution type, for both King County and the United States, in 2008 and 2015 respectively:</w:t>
      </w:r>
    </w:p>
    <w:p w14:paraId="2538BBCB" w14:textId="0285FA87" w:rsidR="00145809" w:rsidRDefault="00145809" w:rsidP="00145809">
      <w:pPr>
        <w:pStyle w:val="Caption"/>
        <w:ind w:left="720" w:right="720"/>
      </w:pPr>
      <w:r>
        <w:lastRenderedPageBreak/>
        <w:t xml:space="preserve">Table </w:t>
      </w:r>
      <w:fldSimple w:instr=" SEQ Table \* ARABIC ">
        <w:r w:rsidR="00F638BC">
          <w:rPr>
            <w:noProof/>
          </w:rPr>
          <w:t>9</w:t>
        </w:r>
      </w:fldSimple>
      <w:r>
        <w:t>: Institutional Demand and Consumption-Based Emissions in 2008. “$M” means millions of 2008 dollars.</w:t>
      </w:r>
    </w:p>
    <w:tbl>
      <w:tblPr>
        <w:tblW w:w="0" w:type="auto"/>
        <w:tblInd w:w="720" w:type="dxa"/>
        <w:tblBorders>
          <w:top w:val="single" w:sz="12" w:space="0" w:color="auto"/>
          <w:bottom w:val="single" w:sz="12" w:space="0" w:color="auto"/>
        </w:tblBorders>
        <w:tblLook w:val="04A0" w:firstRow="1" w:lastRow="0" w:firstColumn="1" w:lastColumn="0" w:noHBand="0" w:noVBand="1"/>
      </w:tblPr>
      <w:tblGrid>
        <w:gridCol w:w="2880"/>
        <w:gridCol w:w="1800"/>
        <w:gridCol w:w="1440"/>
        <w:gridCol w:w="1440"/>
      </w:tblGrid>
      <w:tr w:rsidR="00B049D0" w:rsidRPr="00A24AC5" w14:paraId="24081817" w14:textId="77777777" w:rsidTr="00B049D0">
        <w:trPr>
          <w:trHeight w:val="600"/>
        </w:trPr>
        <w:tc>
          <w:tcPr>
            <w:tcW w:w="2880" w:type="dxa"/>
            <w:tcBorders>
              <w:top w:val="single" w:sz="12" w:space="0" w:color="auto"/>
              <w:bottom w:val="single" w:sz="4" w:space="0" w:color="auto"/>
            </w:tcBorders>
            <w:shd w:val="clear" w:color="auto" w:fill="auto"/>
            <w:noWrap/>
            <w:vAlign w:val="bottom"/>
            <w:hideMark/>
          </w:tcPr>
          <w:p w14:paraId="1BF68A08" w14:textId="77777777" w:rsidR="00B049D0" w:rsidRPr="00010A46" w:rsidRDefault="00B049D0" w:rsidP="00145809">
            <w:pPr>
              <w:keepNext/>
              <w:spacing w:before="60" w:after="60" w:line="240" w:lineRule="auto"/>
              <w:jc w:val="center"/>
              <w:rPr>
                <w:rFonts w:asciiTheme="majorHAnsi" w:eastAsia="Times New Roman" w:hAnsiTheme="majorHAnsi" w:cs="Times New Roman"/>
                <w:b/>
                <w:color w:val="000000"/>
                <w:sz w:val="18"/>
                <w:szCs w:val="18"/>
              </w:rPr>
            </w:pPr>
          </w:p>
        </w:tc>
        <w:tc>
          <w:tcPr>
            <w:tcW w:w="1800" w:type="dxa"/>
            <w:tcBorders>
              <w:top w:val="single" w:sz="12" w:space="0" w:color="auto"/>
              <w:bottom w:val="single" w:sz="4" w:space="0" w:color="auto"/>
            </w:tcBorders>
            <w:shd w:val="clear" w:color="auto" w:fill="auto"/>
            <w:vAlign w:val="bottom"/>
            <w:hideMark/>
          </w:tcPr>
          <w:p w14:paraId="5C1A1AF6" w14:textId="77777777" w:rsidR="00B049D0" w:rsidRPr="00010A46" w:rsidRDefault="00B049D0" w:rsidP="00145809">
            <w:pPr>
              <w:keepNext/>
              <w:spacing w:before="60" w:after="60" w:line="240" w:lineRule="auto"/>
              <w:jc w:val="center"/>
              <w:rPr>
                <w:rFonts w:asciiTheme="majorHAnsi" w:eastAsia="Times New Roman" w:hAnsiTheme="majorHAnsi" w:cs="Times New Roman"/>
                <w:b/>
                <w:color w:val="000000"/>
                <w:sz w:val="18"/>
                <w:szCs w:val="18"/>
              </w:rPr>
            </w:pPr>
            <w:r w:rsidRPr="00010A46">
              <w:rPr>
                <w:rFonts w:asciiTheme="majorHAnsi" w:eastAsia="Times New Roman" w:hAnsiTheme="majorHAnsi" w:cs="Times New Roman"/>
                <w:b/>
                <w:color w:val="000000"/>
                <w:sz w:val="18"/>
                <w:szCs w:val="18"/>
              </w:rPr>
              <w:t>United States</w:t>
            </w:r>
            <w:r>
              <w:rPr>
                <w:rFonts w:asciiTheme="majorHAnsi" w:eastAsia="Times New Roman" w:hAnsiTheme="majorHAnsi" w:cs="Times New Roman"/>
                <w:b/>
                <w:color w:val="000000"/>
                <w:sz w:val="18"/>
                <w:szCs w:val="18"/>
              </w:rPr>
              <w:br/>
            </w:r>
            <w:r w:rsidRPr="00010A46">
              <w:rPr>
                <w:rFonts w:asciiTheme="majorHAnsi" w:eastAsia="Times New Roman" w:hAnsiTheme="majorHAnsi" w:cs="Times New Roman"/>
                <w:b/>
                <w:color w:val="000000"/>
                <w:sz w:val="18"/>
                <w:szCs w:val="18"/>
              </w:rPr>
              <w:t>Demand</w:t>
            </w:r>
            <w:r>
              <w:rPr>
                <w:rFonts w:asciiTheme="majorHAnsi" w:eastAsia="Times New Roman" w:hAnsiTheme="majorHAnsi" w:cs="Times New Roman"/>
                <w:b/>
                <w:color w:val="000000"/>
                <w:sz w:val="18"/>
                <w:szCs w:val="18"/>
              </w:rPr>
              <w:br/>
            </w:r>
            <w:r w:rsidRPr="00010A46">
              <w:rPr>
                <w:rFonts w:asciiTheme="majorHAnsi" w:eastAsia="Times New Roman" w:hAnsiTheme="majorHAnsi" w:cs="Times New Roman"/>
                <w:b/>
                <w:color w:val="000000"/>
                <w:sz w:val="18"/>
                <w:szCs w:val="18"/>
              </w:rPr>
              <w:t xml:space="preserve"> ($M)</w:t>
            </w:r>
          </w:p>
        </w:tc>
        <w:tc>
          <w:tcPr>
            <w:tcW w:w="1440" w:type="dxa"/>
            <w:tcBorders>
              <w:top w:val="single" w:sz="12" w:space="0" w:color="auto"/>
              <w:bottom w:val="single" w:sz="4" w:space="0" w:color="auto"/>
            </w:tcBorders>
            <w:shd w:val="clear" w:color="auto" w:fill="auto"/>
            <w:vAlign w:val="bottom"/>
            <w:hideMark/>
          </w:tcPr>
          <w:p w14:paraId="70894933" w14:textId="77777777" w:rsidR="00B049D0" w:rsidRPr="00010A46" w:rsidRDefault="00B049D0" w:rsidP="00145809">
            <w:pPr>
              <w:keepNext/>
              <w:spacing w:before="60" w:after="60" w:line="240" w:lineRule="auto"/>
              <w:jc w:val="center"/>
              <w:rPr>
                <w:rFonts w:asciiTheme="majorHAnsi" w:eastAsia="Times New Roman" w:hAnsiTheme="majorHAnsi" w:cs="Times New Roman"/>
                <w:b/>
                <w:color w:val="000000"/>
                <w:sz w:val="18"/>
                <w:szCs w:val="18"/>
              </w:rPr>
            </w:pPr>
            <w:r w:rsidRPr="00010A46">
              <w:rPr>
                <w:rFonts w:asciiTheme="majorHAnsi" w:eastAsia="Times New Roman" w:hAnsiTheme="majorHAnsi" w:cs="Times New Roman"/>
                <w:b/>
                <w:color w:val="000000"/>
                <w:sz w:val="18"/>
                <w:szCs w:val="18"/>
              </w:rPr>
              <w:t>King County Demand</w:t>
            </w:r>
            <w:r>
              <w:rPr>
                <w:rFonts w:asciiTheme="majorHAnsi" w:eastAsia="Times New Roman" w:hAnsiTheme="majorHAnsi" w:cs="Times New Roman"/>
                <w:b/>
                <w:color w:val="000000"/>
                <w:sz w:val="18"/>
                <w:szCs w:val="18"/>
              </w:rPr>
              <w:br/>
            </w:r>
            <w:r w:rsidRPr="00010A46">
              <w:rPr>
                <w:rFonts w:asciiTheme="majorHAnsi" w:eastAsia="Times New Roman" w:hAnsiTheme="majorHAnsi" w:cs="Times New Roman"/>
                <w:b/>
                <w:color w:val="000000"/>
                <w:sz w:val="18"/>
                <w:szCs w:val="18"/>
              </w:rPr>
              <w:t>($M)</w:t>
            </w:r>
          </w:p>
        </w:tc>
        <w:tc>
          <w:tcPr>
            <w:tcW w:w="1440" w:type="dxa"/>
            <w:tcBorders>
              <w:top w:val="single" w:sz="12" w:space="0" w:color="auto"/>
              <w:bottom w:val="single" w:sz="4" w:space="0" w:color="auto"/>
            </w:tcBorders>
            <w:shd w:val="clear" w:color="auto" w:fill="auto"/>
            <w:vAlign w:val="bottom"/>
            <w:hideMark/>
          </w:tcPr>
          <w:p w14:paraId="5DCA10B4" w14:textId="77777777" w:rsidR="00B049D0" w:rsidRPr="00010A46" w:rsidRDefault="00B049D0" w:rsidP="00145809">
            <w:pPr>
              <w:keepNext/>
              <w:spacing w:before="60" w:after="60" w:line="240" w:lineRule="auto"/>
              <w:jc w:val="center"/>
              <w:rPr>
                <w:rFonts w:asciiTheme="majorHAnsi" w:eastAsia="Times New Roman" w:hAnsiTheme="majorHAnsi" w:cs="Times New Roman"/>
                <w:b/>
                <w:color w:val="000000"/>
                <w:sz w:val="18"/>
                <w:szCs w:val="18"/>
              </w:rPr>
            </w:pPr>
            <w:r w:rsidRPr="00010A46">
              <w:rPr>
                <w:rFonts w:asciiTheme="majorHAnsi" w:eastAsia="Times New Roman" w:hAnsiTheme="majorHAnsi" w:cs="Times New Roman"/>
                <w:b/>
                <w:color w:val="000000"/>
                <w:sz w:val="18"/>
                <w:szCs w:val="18"/>
              </w:rPr>
              <w:t>King County Emissions</w:t>
            </w:r>
          </w:p>
          <w:p w14:paraId="2BEFA7E0" w14:textId="77777777" w:rsidR="00B049D0" w:rsidRPr="00010A46" w:rsidRDefault="00B049D0" w:rsidP="00145809">
            <w:pPr>
              <w:keepNext/>
              <w:spacing w:before="60" w:after="60" w:line="240" w:lineRule="auto"/>
              <w:jc w:val="center"/>
              <w:rPr>
                <w:rFonts w:asciiTheme="majorHAnsi" w:eastAsia="Times New Roman" w:hAnsiTheme="majorHAnsi" w:cs="Times New Roman"/>
                <w:b/>
                <w:color w:val="000000"/>
                <w:sz w:val="18"/>
                <w:szCs w:val="18"/>
              </w:rPr>
            </w:pPr>
            <w:r w:rsidRPr="00010A46">
              <w:rPr>
                <w:rFonts w:asciiTheme="majorHAnsi" w:eastAsia="Times New Roman" w:hAnsiTheme="majorHAnsi" w:cs="Times New Roman"/>
                <w:b/>
                <w:color w:val="000000"/>
                <w:sz w:val="18"/>
                <w:szCs w:val="18"/>
              </w:rPr>
              <w:t xml:space="preserve">(1000 </w:t>
            </w:r>
            <w:r>
              <w:rPr>
                <w:rFonts w:asciiTheme="majorHAnsi" w:eastAsia="Times New Roman" w:hAnsiTheme="majorHAnsi" w:cs="Times New Roman"/>
                <w:b/>
                <w:color w:val="000000"/>
                <w:sz w:val="18"/>
                <w:szCs w:val="18"/>
              </w:rPr>
              <w:t>t</w:t>
            </w:r>
            <w:r w:rsidRPr="00010A46">
              <w:rPr>
                <w:rFonts w:asciiTheme="majorHAnsi" w:eastAsia="Times New Roman" w:hAnsiTheme="majorHAnsi" w:cs="Times New Roman"/>
                <w:b/>
                <w:color w:val="000000"/>
                <w:sz w:val="18"/>
                <w:szCs w:val="18"/>
              </w:rPr>
              <w:t>CO</w:t>
            </w:r>
            <w:r w:rsidRPr="00010A46">
              <w:rPr>
                <w:rFonts w:asciiTheme="majorHAnsi" w:eastAsia="Times New Roman" w:hAnsiTheme="majorHAnsi" w:cs="Times New Roman"/>
                <w:b/>
                <w:color w:val="000000"/>
                <w:sz w:val="18"/>
                <w:szCs w:val="18"/>
                <w:vertAlign w:val="subscript"/>
              </w:rPr>
              <w:t>2</w:t>
            </w:r>
            <w:r w:rsidRPr="00010A46">
              <w:rPr>
                <w:rFonts w:asciiTheme="majorHAnsi" w:eastAsia="Times New Roman" w:hAnsiTheme="majorHAnsi" w:cs="Times New Roman"/>
                <w:b/>
                <w:color w:val="000000"/>
                <w:sz w:val="18"/>
                <w:szCs w:val="18"/>
              </w:rPr>
              <w:t>e)</w:t>
            </w:r>
          </w:p>
        </w:tc>
      </w:tr>
      <w:tr w:rsidR="00B049D0" w:rsidRPr="00A24AC5" w14:paraId="4B877295" w14:textId="77777777" w:rsidTr="00B049D0">
        <w:trPr>
          <w:trHeight w:val="300"/>
        </w:trPr>
        <w:tc>
          <w:tcPr>
            <w:tcW w:w="2880" w:type="dxa"/>
            <w:tcBorders>
              <w:top w:val="single" w:sz="4" w:space="0" w:color="auto"/>
            </w:tcBorders>
            <w:shd w:val="clear" w:color="auto" w:fill="auto"/>
            <w:vAlign w:val="bottom"/>
            <w:hideMark/>
          </w:tcPr>
          <w:p w14:paraId="6590EA6B" w14:textId="77777777" w:rsidR="00B049D0" w:rsidRPr="00010A46" w:rsidRDefault="00B049D0" w:rsidP="00145809">
            <w:pPr>
              <w:keepNext/>
              <w:spacing w:before="60" w:after="60" w:line="240" w:lineRule="auto"/>
              <w:rPr>
                <w:rFonts w:ascii="Calibri" w:eastAsia="Times New Roman" w:hAnsi="Calibri" w:cs="Times New Roman"/>
                <w:b/>
                <w:color w:val="000000"/>
                <w:szCs w:val="20"/>
              </w:rPr>
            </w:pPr>
            <w:r w:rsidRPr="00010A46">
              <w:rPr>
                <w:rFonts w:ascii="Calibri" w:eastAsia="Times New Roman" w:hAnsi="Calibri" w:cs="Times New Roman"/>
                <w:b/>
                <w:color w:val="000000"/>
                <w:szCs w:val="20"/>
              </w:rPr>
              <w:t>Households</w:t>
            </w:r>
          </w:p>
        </w:tc>
        <w:tc>
          <w:tcPr>
            <w:tcW w:w="1800" w:type="dxa"/>
            <w:tcBorders>
              <w:top w:val="single" w:sz="4" w:space="0" w:color="auto"/>
            </w:tcBorders>
            <w:shd w:val="clear" w:color="auto" w:fill="auto"/>
            <w:noWrap/>
            <w:vAlign w:val="bottom"/>
            <w:hideMark/>
          </w:tcPr>
          <w:p w14:paraId="037DF054" w14:textId="77777777" w:rsidR="00B049D0" w:rsidRPr="00A24AC5" w:rsidRDefault="00B049D0" w:rsidP="00145809">
            <w:pPr>
              <w:keepNext/>
              <w:spacing w:before="60" w:after="60" w:line="240" w:lineRule="auto"/>
              <w:jc w:val="center"/>
              <w:rPr>
                <w:rFonts w:ascii="Calibri" w:eastAsia="Times New Roman" w:hAnsi="Calibri" w:cs="Times New Roman"/>
                <w:color w:val="000000"/>
                <w:szCs w:val="20"/>
              </w:rPr>
            </w:pPr>
            <w:r w:rsidRPr="00A24AC5">
              <w:rPr>
                <w:rFonts w:ascii="Calibri" w:eastAsia="Times New Roman" w:hAnsi="Calibri" w:cs="Times New Roman"/>
                <w:color w:val="000000"/>
                <w:szCs w:val="20"/>
              </w:rPr>
              <w:t>$10,299,248</w:t>
            </w:r>
          </w:p>
        </w:tc>
        <w:tc>
          <w:tcPr>
            <w:tcW w:w="1440" w:type="dxa"/>
            <w:tcBorders>
              <w:top w:val="single" w:sz="4" w:space="0" w:color="auto"/>
            </w:tcBorders>
            <w:shd w:val="clear" w:color="auto" w:fill="auto"/>
            <w:noWrap/>
            <w:vAlign w:val="bottom"/>
            <w:hideMark/>
          </w:tcPr>
          <w:p w14:paraId="117977BF" w14:textId="77777777" w:rsidR="00B049D0" w:rsidRPr="00A24AC5" w:rsidRDefault="00B049D0" w:rsidP="00145809">
            <w:pPr>
              <w:keepNext/>
              <w:spacing w:before="60" w:after="60" w:line="240" w:lineRule="auto"/>
              <w:jc w:val="center"/>
              <w:rPr>
                <w:rFonts w:ascii="Calibri" w:eastAsia="Times New Roman" w:hAnsi="Calibri" w:cs="Times New Roman"/>
                <w:color w:val="000000"/>
                <w:szCs w:val="20"/>
              </w:rPr>
            </w:pPr>
            <w:r w:rsidRPr="00A24AC5">
              <w:rPr>
                <w:rFonts w:ascii="Calibri" w:eastAsia="Times New Roman" w:hAnsi="Calibri" w:cs="Times New Roman"/>
                <w:color w:val="000000"/>
                <w:szCs w:val="20"/>
              </w:rPr>
              <w:t>$93,313</w:t>
            </w:r>
          </w:p>
        </w:tc>
        <w:tc>
          <w:tcPr>
            <w:tcW w:w="1440" w:type="dxa"/>
            <w:tcBorders>
              <w:top w:val="single" w:sz="4" w:space="0" w:color="auto"/>
            </w:tcBorders>
            <w:shd w:val="clear" w:color="auto" w:fill="auto"/>
            <w:noWrap/>
            <w:vAlign w:val="center"/>
            <w:hideMark/>
          </w:tcPr>
          <w:p w14:paraId="7BF39AD2" w14:textId="77777777" w:rsidR="00B049D0" w:rsidRPr="00A24AC5" w:rsidRDefault="00B049D0" w:rsidP="00145809">
            <w:pPr>
              <w:keepNext/>
              <w:spacing w:before="60" w:after="60" w:line="240" w:lineRule="auto"/>
              <w:jc w:val="center"/>
              <w:rPr>
                <w:rFonts w:ascii="Calibri" w:eastAsia="Times New Roman" w:hAnsi="Calibri" w:cs="Times New Roman"/>
                <w:color w:val="000000"/>
                <w:szCs w:val="20"/>
              </w:rPr>
            </w:pPr>
            <w:r w:rsidRPr="00A24AC5">
              <w:rPr>
                <w:rFonts w:ascii="Calibri" w:eastAsia="Times New Roman" w:hAnsi="Calibri" w:cs="Times New Roman"/>
                <w:color w:val="000000"/>
                <w:szCs w:val="20"/>
              </w:rPr>
              <w:t>41,743</w:t>
            </w:r>
          </w:p>
        </w:tc>
      </w:tr>
      <w:tr w:rsidR="00B049D0" w:rsidRPr="00A24AC5" w14:paraId="2D5724EB" w14:textId="77777777" w:rsidTr="00B049D0">
        <w:trPr>
          <w:trHeight w:val="300"/>
        </w:trPr>
        <w:tc>
          <w:tcPr>
            <w:tcW w:w="2880" w:type="dxa"/>
            <w:shd w:val="clear" w:color="auto" w:fill="auto"/>
            <w:vAlign w:val="bottom"/>
            <w:hideMark/>
          </w:tcPr>
          <w:p w14:paraId="2643A78E" w14:textId="77777777" w:rsidR="00B049D0" w:rsidRPr="00010A46" w:rsidRDefault="00B049D0" w:rsidP="00145809">
            <w:pPr>
              <w:keepNext/>
              <w:spacing w:before="60" w:after="60" w:line="240" w:lineRule="auto"/>
              <w:rPr>
                <w:rFonts w:ascii="Calibri" w:eastAsia="Times New Roman" w:hAnsi="Calibri" w:cs="Times New Roman"/>
                <w:b/>
                <w:color w:val="000000"/>
                <w:szCs w:val="20"/>
              </w:rPr>
            </w:pPr>
            <w:r w:rsidRPr="00010A46">
              <w:rPr>
                <w:rFonts w:ascii="Calibri" w:eastAsia="Times New Roman" w:hAnsi="Calibri" w:cs="Times New Roman"/>
                <w:b/>
                <w:color w:val="000000"/>
                <w:szCs w:val="20"/>
              </w:rPr>
              <w:t>State and Local Government</w:t>
            </w:r>
          </w:p>
        </w:tc>
        <w:tc>
          <w:tcPr>
            <w:tcW w:w="1800" w:type="dxa"/>
            <w:shd w:val="clear" w:color="auto" w:fill="auto"/>
            <w:noWrap/>
            <w:vAlign w:val="bottom"/>
            <w:hideMark/>
          </w:tcPr>
          <w:p w14:paraId="0C7FBBDF" w14:textId="77777777" w:rsidR="00B049D0" w:rsidRPr="00A24AC5" w:rsidRDefault="00B049D0" w:rsidP="00145809">
            <w:pPr>
              <w:keepNext/>
              <w:spacing w:before="60" w:after="60" w:line="240" w:lineRule="auto"/>
              <w:jc w:val="center"/>
              <w:rPr>
                <w:rFonts w:ascii="Calibri" w:eastAsia="Times New Roman" w:hAnsi="Calibri" w:cs="Times New Roman"/>
                <w:color w:val="000000"/>
                <w:szCs w:val="20"/>
              </w:rPr>
            </w:pPr>
            <w:r w:rsidRPr="00A24AC5">
              <w:rPr>
                <w:rFonts w:ascii="Calibri" w:eastAsia="Times New Roman" w:hAnsi="Calibri" w:cs="Times New Roman"/>
                <w:color w:val="000000"/>
                <w:szCs w:val="20"/>
              </w:rPr>
              <w:t>$2,147,637</w:t>
            </w:r>
          </w:p>
        </w:tc>
        <w:tc>
          <w:tcPr>
            <w:tcW w:w="1440" w:type="dxa"/>
            <w:shd w:val="clear" w:color="auto" w:fill="auto"/>
            <w:noWrap/>
            <w:vAlign w:val="bottom"/>
            <w:hideMark/>
          </w:tcPr>
          <w:p w14:paraId="1B56FFDA" w14:textId="77777777" w:rsidR="00B049D0" w:rsidRPr="00A24AC5" w:rsidRDefault="00B049D0" w:rsidP="00145809">
            <w:pPr>
              <w:keepNext/>
              <w:spacing w:before="60" w:after="60" w:line="240" w:lineRule="auto"/>
              <w:jc w:val="center"/>
              <w:rPr>
                <w:rFonts w:ascii="Calibri" w:eastAsia="Times New Roman" w:hAnsi="Calibri" w:cs="Times New Roman"/>
                <w:color w:val="000000"/>
                <w:szCs w:val="20"/>
              </w:rPr>
            </w:pPr>
            <w:r w:rsidRPr="00A24AC5">
              <w:rPr>
                <w:rFonts w:ascii="Calibri" w:eastAsia="Times New Roman" w:hAnsi="Calibri" w:cs="Times New Roman"/>
                <w:color w:val="000000"/>
                <w:szCs w:val="20"/>
              </w:rPr>
              <w:t>$11,699</w:t>
            </w:r>
          </w:p>
        </w:tc>
        <w:tc>
          <w:tcPr>
            <w:tcW w:w="1440" w:type="dxa"/>
            <w:vMerge w:val="restart"/>
            <w:shd w:val="clear" w:color="auto" w:fill="auto"/>
            <w:noWrap/>
            <w:vAlign w:val="center"/>
            <w:hideMark/>
          </w:tcPr>
          <w:p w14:paraId="73A21D9E" w14:textId="77777777" w:rsidR="00B049D0" w:rsidRPr="00A24AC5" w:rsidRDefault="00B049D0" w:rsidP="00145809">
            <w:pPr>
              <w:keepNext/>
              <w:spacing w:before="60" w:after="60" w:line="240" w:lineRule="auto"/>
              <w:jc w:val="center"/>
              <w:rPr>
                <w:rFonts w:ascii="Calibri" w:eastAsia="Times New Roman" w:hAnsi="Calibri" w:cs="Times New Roman"/>
                <w:color w:val="000000"/>
                <w:szCs w:val="20"/>
              </w:rPr>
            </w:pPr>
            <w:proofErr w:type="gramStart"/>
            <w:r>
              <w:rPr>
                <w:rFonts w:ascii="Calibri" w:eastAsia="Times New Roman" w:hAnsi="Calibri" w:cs="Times New Roman"/>
                <w:color w:val="000000"/>
                <w:szCs w:val="20"/>
              </w:rPr>
              <w:t xml:space="preserve">{ </w:t>
            </w:r>
            <w:r w:rsidRPr="00A24AC5">
              <w:rPr>
                <w:rFonts w:ascii="Calibri" w:eastAsia="Times New Roman" w:hAnsi="Calibri" w:cs="Times New Roman"/>
                <w:color w:val="000000"/>
                <w:szCs w:val="20"/>
              </w:rPr>
              <w:t>3,045</w:t>
            </w:r>
            <w:proofErr w:type="gramEnd"/>
            <w:r>
              <w:rPr>
                <w:rFonts w:ascii="Calibri" w:eastAsia="Times New Roman" w:hAnsi="Calibri" w:cs="Times New Roman"/>
                <w:color w:val="000000"/>
                <w:szCs w:val="20"/>
              </w:rPr>
              <w:t xml:space="preserve"> }</w:t>
            </w:r>
          </w:p>
        </w:tc>
      </w:tr>
      <w:tr w:rsidR="00B049D0" w:rsidRPr="00A24AC5" w14:paraId="65AC3B65" w14:textId="77777777" w:rsidTr="00B049D0">
        <w:trPr>
          <w:trHeight w:val="300"/>
        </w:trPr>
        <w:tc>
          <w:tcPr>
            <w:tcW w:w="2880" w:type="dxa"/>
            <w:shd w:val="clear" w:color="auto" w:fill="auto"/>
            <w:vAlign w:val="bottom"/>
            <w:hideMark/>
          </w:tcPr>
          <w:p w14:paraId="03302238" w14:textId="77777777" w:rsidR="00B049D0" w:rsidRPr="00010A46" w:rsidRDefault="00B049D0" w:rsidP="00145809">
            <w:pPr>
              <w:keepNext/>
              <w:spacing w:before="60" w:after="60" w:line="240" w:lineRule="auto"/>
              <w:rPr>
                <w:rFonts w:ascii="Calibri" w:eastAsia="Times New Roman" w:hAnsi="Calibri" w:cs="Times New Roman"/>
                <w:b/>
                <w:color w:val="000000"/>
                <w:szCs w:val="20"/>
              </w:rPr>
            </w:pPr>
            <w:r w:rsidRPr="00010A46">
              <w:rPr>
                <w:rFonts w:ascii="Calibri" w:eastAsia="Times New Roman" w:hAnsi="Calibri" w:cs="Times New Roman"/>
                <w:b/>
                <w:color w:val="000000"/>
                <w:szCs w:val="20"/>
              </w:rPr>
              <w:t>Federal Government</w:t>
            </w:r>
          </w:p>
        </w:tc>
        <w:tc>
          <w:tcPr>
            <w:tcW w:w="1800" w:type="dxa"/>
            <w:shd w:val="clear" w:color="auto" w:fill="auto"/>
            <w:noWrap/>
            <w:vAlign w:val="bottom"/>
            <w:hideMark/>
          </w:tcPr>
          <w:p w14:paraId="689D5F76" w14:textId="77777777" w:rsidR="00B049D0" w:rsidRPr="00A24AC5" w:rsidRDefault="00B049D0" w:rsidP="00145809">
            <w:pPr>
              <w:keepNext/>
              <w:spacing w:before="60" w:after="60" w:line="240" w:lineRule="auto"/>
              <w:jc w:val="center"/>
              <w:rPr>
                <w:rFonts w:ascii="Calibri" w:eastAsia="Times New Roman" w:hAnsi="Calibri" w:cs="Times New Roman"/>
                <w:color w:val="000000"/>
                <w:szCs w:val="20"/>
              </w:rPr>
            </w:pPr>
            <w:r w:rsidRPr="00A24AC5">
              <w:rPr>
                <w:rFonts w:ascii="Calibri" w:eastAsia="Times New Roman" w:hAnsi="Calibri" w:cs="Times New Roman"/>
                <w:color w:val="000000"/>
                <w:szCs w:val="20"/>
              </w:rPr>
              <w:t>$1,114,883</w:t>
            </w:r>
          </w:p>
        </w:tc>
        <w:tc>
          <w:tcPr>
            <w:tcW w:w="1440" w:type="dxa"/>
            <w:shd w:val="clear" w:color="auto" w:fill="auto"/>
            <w:noWrap/>
            <w:vAlign w:val="bottom"/>
            <w:hideMark/>
          </w:tcPr>
          <w:p w14:paraId="786416A5" w14:textId="77777777" w:rsidR="00B049D0" w:rsidRPr="00A24AC5" w:rsidRDefault="00B049D0" w:rsidP="00145809">
            <w:pPr>
              <w:keepNext/>
              <w:spacing w:before="60" w:after="60" w:line="240" w:lineRule="auto"/>
              <w:jc w:val="center"/>
              <w:rPr>
                <w:rFonts w:ascii="Calibri" w:eastAsia="Times New Roman" w:hAnsi="Calibri" w:cs="Times New Roman"/>
                <w:color w:val="000000"/>
                <w:szCs w:val="20"/>
              </w:rPr>
            </w:pPr>
            <w:r w:rsidRPr="00A24AC5">
              <w:rPr>
                <w:rFonts w:ascii="Calibri" w:eastAsia="Times New Roman" w:hAnsi="Calibri" w:cs="Times New Roman"/>
                <w:color w:val="000000"/>
                <w:szCs w:val="20"/>
              </w:rPr>
              <w:t>$4,129</w:t>
            </w:r>
          </w:p>
        </w:tc>
        <w:tc>
          <w:tcPr>
            <w:tcW w:w="1440" w:type="dxa"/>
            <w:vMerge/>
            <w:vAlign w:val="center"/>
            <w:hideMark/>
          </w:tcPr>
          <w:p w14:paraId="32C5B48C" w14:textId="77777777" w:rsidR="00B049D0" w:rsidRPr="00A24AC5" w:rsidRDefault="00B049D0" w:rsidP="00145809">
            <w:pPr>
              <w:keepNext/>
              <w:spacing w:before="60" w:after="60" w:line="240" w:lineRule="auto"/>
              <w:rPr>
                <w:rFonts w:ascii="Calibri" w:eastAsia="Times New Roman" w:hAnsi="Calibri" w:cs="Times New Roman"/>
                <w:color w:val="000000"/>
                <w:szCs w:val="20"/>
              </w:rPr>
            </w:pPr>
          </w:p>
        </w:tc>
      </w:tr>
      <w:tr w:rsidR="00B049D0" w:rsidRPr="00A24AC5" w14:paraId="227B4F6E" w14:textId="77777777" w:rsidTr="00B049D0">
        <w:trPr>
          <w:trHeight w:val="300"/>
        </w:trPr>
        <w:tc>
          <w:tcPr>
            <w:tcW w:w="2880" w:type="dxa"/>
            <w:shd w:val="clear" w:color="auto" w:fill="auto"/>
            <w:vAlign w:val="bottom"/>
            <w:hideMark/>
          </w:tcPr>
          <w:p w14:paraId="1B6F780C" w14:textId="77777777" w:rsidR="00B049D0" w:rsidRPr="00010A46" w:rsidRDefault="00B049D0" w:rsidP="00145809">
            <w:pPr>
              <w:keepNext/>
              <w:spacing w:before="60" w:after="60" w:line="240" w:lineRule="auto"/>
              <w:rPr>
                <w:rFonts w:ascii="Calibri" w:eastAsia="Times New Roman" w:hAnsi="Calibri" w:cs="Times New Roman"/>
                <w:b/>
                <w:color w:val="000000"/>
                <w:szCs w:val="20"/>
              </w:rPr>
            </w:pPr>
            <w:r w:rsidRPr="00010A46">
              <w:rPr>
                <w:rFonts w:ascii="Calibri" w:eastAsia="Times New Roman" w:hAnsi="Calibri" w:cs="Times New Roman"/>
                <w:b/>
                <w:color w:val="000000"/>
                <w:szCs w:val="20"/>
              </w:rPr>
              <w:t>Business Investment</w:t>
            </w:r>
          </w:p>
        </w:tc>
        <w:tc>
          <w:tcPr>
            <w:tcW w:w="1800" w:type="dxa"/>
            <w:shd w:val="clear" w:color="auto" w:fill="auto"/>
            <w:noWrap/>
            <w:vAlign w:val="bottom"/>
            <w:hideMark/>
          </w:tcPr>
          <w:p w14:paraId="1E5D1C7C" w14:textId="77777777" w:rsidR="00B049D0" w:rsidRPr="00A24AC5" w:rsidRDefault="00B049D0" w:rsidP="00145809">
            <w:pPr>
              <w:keepNext/>
              <w:spacing w:before="60" w:after="60" w:line="240" w:lineRule="auto"/>
              <w:jc w:val="center"/>
              <w:rPr>
                <w:rFonts w:ascii="Calibri" w:eastAsia="Times New Roman" w:hAnsi="Calibri" w:cs="Times New Roman"/>
                <w:color w:val="000000"/>
                <w:szCs w:val="20"/>
              </w:rPr>
            </w:pPr>
            <w:r w:rsidRPr="00A24AC5">
              <w:rPr>
                <w:rFonts w:ascii="Calibri" w:eastAsia="Times New Roman" w:hAnsi="Calibri" w:cs="Times New Roman"/>
                <w:color w:val="000000"/>
                <w:szCs w:val="20"/>
              </w:rPr>
              <w:t>$2,377,205</w:t>
            </w:r>
          </w:p>
        </w:tc>
        <w:tc>
          <w:tcPr>
            <w:tcW w:w="1440" w:type="dxa"/>
            <w:shd w:val="clear" w:color="auto" w:fill="auto"/>
            <w:noWrap/>
            <w:vAlign w:val="bottom"/>
            <w:hideMark/>
          </w:tcPr>
          <w:p w14:paraId="751A7665" w14:textId="77777777" w:rsidR="00B049D0" w:rsidRPr="00A24AC5" w:rsidRDefault="00B049D0" w:rsidP="00145809">
            <w:pPr>
              <w:keepNext/>
              <w:spacing w:before="60" w:after="60" w:line="240" w:lineRule="auto"/>
              <w:jc w:val="center"/>
              <w:rPr>
                <w:rFonts w:ascii="Calibri" w:eastAsia="Times New Roman" w:hAnsi="Calibri" w:cs="Times New Roman"/>
                <w:color w:val="000000"/>
                <w:szCs w:val="20"/>
              </w:rPr>
            </w:pPr>
            <w:r w:rsidRPr="00A24AC5">
              <w:rPr>
                <w:rFonts w:ascii="Calibri" w:eastAsia="Times New Roman" w:hAnsi="Calibri" w:cs="Times New Roman"/>
                <w:color w:val="000000"/>
                <w:szCs w:val="20"/>
              </w:rPr>
              <w:t>$40,458</w:t>
            </w:r>
          </w:p>
        </w:tc>
        <w:tc>
          <w:tcPr>
            <w:tcW w:w="1440" w:type="dxa"/>
            <w:shd w:val="clear" w:color="auto" w:fill="auto"/>
            <w:noWrap/>
            <w:vAlign w:val="center"/>
            <w:hideMark/>
          </w:tcPr>
          <w:p w14:paraId="133CE71F" w14:textId="77777777" w:rsidR="00B049D0" w:rsidRPr="00A24AC5" w:rsidRDefault="00B049D0" w:rsidP="00145809">
            <w:pPr>
              <w:keepNext/>
              <w:spacing w:before="60" w:after="60" w:line="240" w:lineRule="auto"/>
              <w:jc w:val="center"/>
              <w:rPr>
                <w:rFonts w:ascii="Calibri" w:eastAsia="Times New Roman" w:hAnsi="Calibri" w:cs="Times New Roman"/>
                <w:color w:val="000000"/>
                <w:szCs w:val="20"/>
              </w:rPr>
            </w:pPr>
            <w:r w:rsidRPr="00A24AC5">
              <w:rPr>
                <w:rFonts w:ascii="Calibri" w:eastAsia="Times New Roman" w:hAnsi="Calibri" w:cs="Times New Roman"/>
                <w:color w:val="000000"/>
                <w:szCs w:val="20"/>
              </w:rPr>
              <w:t>10,205</w:t>
            </w:r>
          </w:p>
        </w:tc>
      </w:tr>
      <w:tr w:rsidR="00B049D0" w:rsidRPr="00A24AC5" w14:paraId="6345A646" w14:textId="77777777" w:rsidTr="00B049D0">
        <w:trPr>
          <w:trHeight w:val="300"/>
        </w:trPr>
        <w:tc>
          <w:tcPr>
            <w:tcW w:w="2880" w:type="dxa"/>
            <w:shd w:val="clear" w:color="auto" w:fill="auto"/>
            <w:vAlign w:val="bottom"/>
            <w:hideMark/>
          </w:tcPr>
          <w:p w14:paraId="6FA2E728" w14:textId="77777777" w:rsidR="00B049D0" w:rsidRPr="00A24AC5" w:rsidRDefault="00B049D0" w:rsidP="00145809">
            <w:pPr>
              <w:keepNext/>
              <w:spacing w:before="60" w:after="60" w:line="240" w:lineRule="auto"/>
              <w:rPr>
                <w:rFonts w:ascii="Calibri" w:eastAsia="Times New Roman" w:hAnsi="Calibri" w:cs="Times New Roman"/>
                <w:b/>
                <w:bCs/>
                <w:color w:val="000000"/>
                <w:szCs w:val="20"/>
              </w:rPr>
            </w:pPr>
            <w:r w:rsidRPr="00A24AC5">
              <w:rPr>
                <w:rFonts w:ascii="Calibri" w:eastAsia="Times New Roman" w:hAnsi="Calibri" w:cs="Times New Roman"/>
                <w:b/>
                <w:bCs/>
                <w:color w:val="000000"/>
                <w:szCs w:val="20"/>
              </w:rPr>
              <w:t>Total</w:t>
            </w:r>
          </w:p>
        </w:tc>
        <w:tc>
          <w:tcPr>
            <w:tcW w:w="1800" w:type="dxa"/>
            <w:shd w:val="clear" w:color="auto" w:fill="auto"/>
            <w:noWrap/>
            <w:vAlign w:val="bottom"/>
            <w:hideMark/>
          </w:tcPr>
          <w:p w14:paraId="578ACC36" w14:textId="77777777" w:rsidR="00B049D0" w:rsidRPr="00A24AC5" w:rsidRDefault="00B049D0" w:rsidP="00145809">
            <w:pPr>
              <w:keepNext/>
              <w:pBdr>
                <w:top w:val="single" w:sz="4" w:space="1" w:color="auto"/>
              </w:pBdr>
              <w:spacing w:before="60" w:after="60" w:line="240" w:lineRule="auto"/>
              <w:jc w:val="center"/>
              <w:rPr>
                <w:rFonts w:ascii="Calibri" w:eastAsia="Times New Roman" w:hAnsi="Calibri" w:cs="Times New Roman"/>
                <w:b/>
                <w:bCs/>
                <w:color w:val="000000"/>
                <w:szCs w:val="20"/>
              </w:rPr>
            </w:pPr>
            <w:r w:rsidRPr="00A24AC5">
              <w:rPr>
                <w:rFonts w:ascii="Calibri" w:eastAsia="Times New Roman" w:hAnsi="Calibri" w:cs="Times New Roman"/>
                <w:b/>
                <w:bCs/>
                <w:color w:val="000000"/>
                <w:szCs w:val="20"/>
              </w:rPr>
              <w:t>$15,938,973</w:t>
            </w:r>
          </w:p>
        </w:tc>
        <w:tc>
          <w:tcPr>
            <w:tcW w:w="1440" w:type="dxa"/>
            <w:shd w:val="clear" w:color="auto" w:fill="auto"/>
            <w:noWrap/>
            <w:vAlign w:val="bottom"/>
            <w:hideMark/>
          </w:tcPr>
          <w:p w14:paraId="02C91601" w14:textId="77777777" w:rsidR="00B049D0" w:rsidRPr="00A24AC5" w:rsidRDefault="00B049D0" w:rsidP="00145809">
            <w:pPr>
              <w:keepNext/>
              <w:pBdr>
                <w:top w:val="single" w:sz="4" w:space="1" w:color="auto"/>
              </w:pBdr>
              <w:spacing w:before="60" w:after="60" w:line="240" w:lineRule="auto"/>
              <w:jc w:val="center"/>
              <w:rPr>
                <w:rFonts w:ascii="Calibri" w:eastAsia="Times New Roman" w:hAnsi="Calibri" w:cs="Times New Roman"/>
                <w:b/>
                <w:bCs/>
                <w:color w:val="000000"/>
                <w:szCs w:val="20"/>
              </w:rPr>
            </w:pPr>
            <w:r w:rsidRPr="00A24AC5">
              <w:rPr>
                <w:rFonts w:ascii="Calibri" w:eastAsia="Times New Roman" w:hAnsi="Calibri" w:cs="Times New Roman"/>
                <w:b/>
                <w:bCs/>
                <w:color w:val="000000"/>
                <w:szCs w:val="20"/>
              </w:rPr>
              <w:t>$149,599</w:t>
            </w:r>
          </w:p>
        </w:tc>
        <w:tc>
          <w:tcPr>
            <w:tcW w:w="1440" w:type="dxa"/>
            <w:shd w:val="clear" w:color="auto" w:fill="auto"/>
            <w:noWrap/>
            <w:vAlign w:val="bottom"/>
            <w:hideMark/>
          </w:tcPr>
          <w:p w14:paraId="775DC46E" w14:textId="77777777" w:rsidR="00B049D0" w:rsidRPr="00A24AC5" w:rsidRDefault="00B049D0" w:rsidP="00145809">
            <w:pPr>
              <w:keepNext/>
              <w:pBdr>
                <w:top w:val="single" w:sz="4" w:space="1" w:color="auto"/>
              </w:pBdr>
              <w:spacing w:before="60" w:after="60" w:line="240" w:lineRule="auto"/>
              <w:jc w:val="center"/>
              <w:rPr>
                <w:rFonts w:ascii="Calibri" w:eastAsia="Times New Roman" w:hAnsi="Calibri" w:cs="Times New Roman"/>
                <w:b/>
                <w:bCs/>
                <w:color w:val="000000"/>
                <w:szCs w:val="20"/>
              </w:rPr>
            </w:pPr>
            <w:r w:rsidRPr="00A24AC5">
              <w:rPr>
                <w:rFonts w:ascii="Calibri" w:eastAsia="Times New Roman" w:hAnsi="Calibri" w:cs="Times New Roman"/>
                <w:b/>
                <w:bCs/>
                <w:color w:val="000000"/>
                <w:szCs w:val="20"/>
              </w:rPr>
              <w:t>54,992</w:t>
            </w:r>
          </w:p>
        </w:tc>
      </w:tr>
    </w:tbl>
    <w:p w14:paraId="5A0493A8" w14:textId="3157BEEC" w:rsidR="00145809" w:rsidRDefault="00145809" w:rsidP="00145809">
      <w:pPr>
        <w:pStyle w:val="Caption"/>
        <w:ind w:left="720" w:right="720"/>
      </w:pPr>
      <w:r>
        <w:t xml:space="preserve">Table </w:t>
      </w:r>
      <w:fldSimple w:instr=" SEQ Table \* ARABIC ">
        <w:r w:rsidR="00F638BC">
          <w:rPr>
            <w:noProof/>
          </w:rPr>
          <w:t>10</w:t>
        </w:r>
      </w:fldSimple>
      <w:r>
        <w:t>: Institutional Demand and Consumption-Based Emissions in 2008. “$M” means millions of 2008 dollars.</w:t>
      </w:r>
    </w:p>
    <w:tbl>
      <w:tblPr>
        <w:tblStyle w:val="TableGrid"/>
        <w:tblW w:w="0" w:type="auto"/>
        <w:tblInd w:w="720" w:type="dxa"/>
        <w:tblLook w:val="04A0" w:firstRow="1" w:lastRow="0" w:firstColumn="1" w:lastColumn="0" w:noHBand="0" w:noVBand="1"/>
      </w:tblPr>
      <w:tblGrid>
        <w:gridCol w:w="2880"/>
        <w:gridCol w:w="1627"/>
        <w:gridCol w:w="1627"/>
        <w:gridCol w:w="1627"/>
      </w:tblGrid>
      <w:tr w:rsidR="00B049D0" w:rsidRPr="00010A46" w14:paraId="179C7490" w14:textId="77777777" w:rsidTr="00B049D0">
        <w:trPr>
          <w:trHeight w:val="600"/>
        </w:trPr>
        <w:tc>
          <w:tcPr>
            <w:tcW w:w="2880" w:type="dxa"/>
            <w:noWrap/>
            <w:hideMark/>
          </w:tcPr>
          <w:p w14:paraId="6DE01E17" w14:textId="77777777" w:rsidR="00B049D0" w:rsidRPr="00010A46" w:rsidRDefault="00B049D0" w:rsidP="00145809">
            <w:pPr>
              <w:keepNext/>
              <w:spacing w:before="60" w:after="60"/>
              <w:rPr>
                <w:rFonts w:asciiTheme="majorHAnsi" w:eastAsia="Times New Roman" w:hAnsiTheme="majorHAnsi" w:cs="Times New Roman"/>
                <w:color w:val="000000"/>
                <w:sz w:val="18"/>
                <w:szCs w:val="18"/>
              </w:rPr>
            </w:pPr>
            <w:r w:rsidRPr="00010A46">
              <w:rPr>
                <w:rFonts w:asciiTheme="majorHAnsi" w:eastAsia="Times New Roman" w:hAnsiTheme="majorHAnsi" w:cs="Times New Roman"/>
                <w:color w:val="000000"/>
                <w:sz w:val="18"/>
                <w:szCs w:val="18"/>
              </w:rPr>
              <w:t> </w:t>
            </w:r>
          </w:p>
        </w:tc>
        <w:tc>
          <w:tcPr>
            <w:tcW w:w="1627" w:type="dxa"/>
            <w:hideMark/>
          </w:tcPr>
          <w:p w14:paraId="49EF3F88" w14:textId="77777777" w:rsidR="00B049D0" w:rsidRPr="00010A46" w:rsidRDefault="00B049D0" w:rsidP="00145809">
            <w:pPr>
              <w:keepNext/>
              <w:spacing w:before="60" w:after="60"/>
              <w:rPr>
                <w:rFonts w:asciiTheme="majorHAnsi" w:eastAsia="Times New Roman" w:hAnsiTheme="majorHAnsi" w:cs="Times New Roman"/>
                <w:color w:val="000000"/>
                <w:sz w:val="18"/>
                <w:szCs w:val="18"/>
              </w:rPr>
            </w:pPr>
            <w:r w:rsidRPr="00010A46">
              <w:rPr>
                <w:rFonts w:asciiTheme="majorHAnsi" w:eastAsia="Times New Roman" w:hAnsiTheme="majorHAnsi" w:cs="Times New Roman"/>
                <w:color w:val="000000"/>
                <w:sz w:val="18"/>
                <w:szCs w:val="18"/>
              </w:rPr>
              <w:t>United States</w:t>
            </w:r>
            <w:r>
              <w:rPr>
                <w:rFonts w:asciiTheme="majorHAnsi" w:eastAsia="Times New Roman" w:hAnsiTheme="majorHAnsi" w:cs="Times New Roman"/>
                <w:color w:val="000000"/>
                <w:sz w:val="18"/>
                <w:szCs w:val="18"/>
              </w:rPr>
              <w:br/>
            </w:r>
            <w:r w:rsidRPr="00010A46">
              <w:rPr>
                <w:rFonts w:asciiTheme="majorHAnsi" w:eastAsia="Times New Roman" w:hAnsiTheme="majorHAnsi" w:cs="Times New Roman"/>
                <w:color w:val="000000"/>
                <w:sz w:val="18"/>
                <w:szCs w:val="18"/>
              </w:rPr>
              <w:t>Demand</w:t>
            </w:r>
            <w:r>
              <w:rPr>
                <w:rFonts w:asciiTheme="majorHAnsi" w:eastAsia="Times New Roman" w:hAnsiTheme="majorHAnsi" w:cs="Times New Roman"/>
                <w:color w:val="000000"/>
                <w:sz w:val="18"/>
                <w:szCs w:val="18"/>
              </w:rPr>
              <w:br/>
            </w:r>
            <w:r w:rsidRPr="00010A46">
              <w:rPr>
                <w:rFonts w:asciiTheme="majorHAnsi" w:eastAsia="Times New Roman" w:hAnsiTheme="majorHAnsi" w:cs="Times New Roman"/>
                <w:color w:val="000000"/>
                <w:sz w:val="18"/>
                <w:szCs w:val="18"/>
              </w:rPr>
              <w:t>($M)</w:t>
            </w:r>
          </w:p>
        </w:tc>
        <w:tc>
          <w:tcPr>
            <w:tcW w:w="1627" w:type="dxa"/>
            <w:hideMark/>
          </w:tcPr>
          <w:p w14:paraId="7A6522E3" w14:textId="77777777" w:rsidR="00B049D0" w:rsidRPr="00010A46" w:rsidRDefault="00B049D0" w:rsidP="00145809">
            <w:pPr>
              <w:keepNext/>
              <w:spacing w:before="60" w:after="60"/>
              <w:rPr>
                <w:rFonts w:asciiTheme="majorHAnsi" w:eastAsia="Times New Roman" w:hAnsiTheme="majorHAnsi" w:cs="Times New Roman"/>
                <w:color w:val="000000"/>
                <w:sz w:val="18"/>
                <w:szCs w:val="18"/>
              </w:rPr>
            </w:pPr>
            <w:r w:rsidRPr="00010A46">
              <w:rPr>
                <w:rFonts w:asciiTheme="majorHAnsi" w:eastAsia="Times New Roman" w:hAnsiTheme="majorHAnsi" w:cs="Times New Roman"/>
                <w:color w:val="000000"/>
                <w:sz w:val="18"/>
                <w:szCs w:val="18"/>
              </w:rPr>
              <w:t>King County</w:t>
            </w:r>
            <w:r>
              <w:rPr>
                <w:rFonts w:asciiTheme="majorHAnsi" w:eastAsia="Times New Roman" w:hAnsiTheme="majorHAnsi" w:cs="Times New Roman"/>
                <w:color w:val="000000"/>
                <w:sz w:val="18"/>
                <w:szCs w:val="18"/>
              </w:rPr>
              <w:br/>
            </w:r>
            <w:r w:rsidRPr="00010A46">
              <w:rPr>
                <w:rFonts w:asciiTheme="majorHAnsi" w:eastAsia="Times New Roman" w:hAnsiTheme="majorHAnsi" w:cs="Times New Roman"/>
                <w:color w:val="000000"/>
                <w:sz w:val="18"/>
                <w:szCs w:val="18"/>
              </w:rPr>
              <w:t>Demand</w:t>
            </w:r>
            <w:r>
              <w:rPr>
                <w:rFonts w:asciiTheme="majorHAnsi" w:eastAsia="Times New Roman" w:hAnsiTheme="majorHAnsi" w:cs="Times New Roman"/>
                <w:color w:val="000000"/>
                <w:sz w:val="18"/>
                <w:szCs w:val="18"/>
              </w:rPr>
              <w:br/>
            </w:r>
            <w:r w:rsidRPr="00010A46">
              <w:rPr>
                <w:rFonts w:asciiTheme="majorHAnsi" w:eastAsia="Times New Roman" w:hAnsiTheme="majorHAnsi" w:cs="Times New Roman"/>
                <w:color w:val="000000"/>
                <w:sz w:val="18"/>
                <w:szCs w:val="18"/>
              </w:rPr>
              <w:t>($M)</w:t>
            </w:r>
          </w:p>
        </w:tc>
        <w:tc>
          <w:tcPr>
            <w:tcW w:w="1627" w:type="dxa"/>
            <w:hideMark/>
          </w:tcPr>
          <w:p w14:paraId="14F8608B" w14:textId="77777777" w:rsidR="00B049D0" w:rsidRPr="00010A46" w:rsidRDefault="00B049D0" w:rsidP="00145809">
            <w:pPr>
              <w:keepNext/>
              <w:spacing w:before="60" w:after="60"/>
              <w:rPr>
                <w:rFonts w:asciiTheme="majorHAnsi" w:eastAsia="Times New Roman" w:hAnsiTheme="majorHAnsi" w:cs="Times New Roman"/>
                <w:color w:val="000000"/>
                <w:sz w:val="18"/>
                <w:szCs w:val="18"/>
              </w:rPr>
            </w:pPr>
            <w:r w:rsidRPr="00010A46">
              <w:rPr>
                <w:rFonts w:asciiTheme="majorHAnsi" w:eastAsia="Times New Roman" w:hAnsiTheme="majorHAnsi" w:cs="Times New Roman"/>
                <w:color w:val="000000"/>
                <w:sz w:val="18"/>
                <w:szCs w:val="18"/>
              </w:rPr>
              <w:t>King County</w:t>
            </w:r>
            <w:r>
              <w:rPr>
                <w:rFonts w:asciiTheme="majorHAnsi" w:eastAsia="Times New Roman" w:hAnsiTheme="majorHAnsi" w:cs="Times New Roman"/>
                <w:color w:val="000000"/>
                <w:sz w:val="18"/>
                <w:szCs w:val="18"/>
              </w:rPr>
              <w:br/>
            </w:r>
            <w:r w:rsidRPr="00010A46">
              <w:rPr>
                <w:rFonts w:asciiTheme="majorHAnsi" w:eastAsia="Times New Roman" w:hAnsiTheme="majorHAnsi" w:cs="Times New Roman"/>
                <w:color w:val="000000"/>
                <w:sz w:val="18"/>
                <w:szCs w:val="18"/>
              </w:rPr>
              <w:t>Emissions</w:t>
            </w:r>
            <w:r>
              <w:rPr>
                <w:rFonts w:asciiTheme="majorHAnsi" w:eastAsia="Times New Roman" w:hAnsiTheme="majorHAnsi" w:cs="Times New Roman"/>
                <w:color w:val="000000"/>
                <w:sz w:val="18"/>
                <w:szCs w:val="18"/>
              </w:rPr>
              <w:br/>
            </w:r>
            <w:r w:rsidRPr="00010A46">
              <w:rPr>
                <w:rFonts w:asciiTheme="majorHAnsi" w:eastAsia="Times New Roman" w:hAnsiTheme="majorHAnsi" w:cs="Times New Roman"/>
                <w:color w:val="000000"/>
                <w:sz w:val="18"/>
                <w:szCs w:val="18"/>
              </w:rPr>
              <w:t xml:space="preserve">(1000 </w:t>
            </w:r>
            <w:r>
              <w:rPr>
                <w:rFonts w:asciiTheme="majorHAnsi" w:eastAsia="Times New Roman" w:hAnsiTheme="majorHAnsi" w:cs="Times New Roman"/>
                <w:color w:val="000000"/>
                <w:sz w:val="18"/>
                <w:szCs w:val="18"/>
              </w:rPr>
              <w:t>t</w:t>
            </w:r>
            <w:r w:rsidRPr="00010A46">
              <w:rPr>
                <w:rFonts w:asciiTheme="majorHAnsi" w:eastAsia="Times New Roman" w:hAnsiTheme="majorHAnsi" w:cs="Times New Roman"/>
                <w:color w:val="000000"/>
                <w:sz w:val="18"/>
                <w:szCs w:val="18"/>
              </w:rPr>
              <w:t>CO</w:t>
            </w:r>
            <w:r w:rsidRPr="00010A46">
              <w:rPr>
                <w:rFonts w:asciiTheme="majorHAnsi" w:eastAsia="Times New Roman" w:hAnsiTheme="majorHAnsi" w:cs="Times New Roman"/>
                <w:color w:val="000000"/>
                <w:sz w:val="18"/>
                <w:szCs w:val="18"/>
                <w:vertAlign w:val="subscript"/>
              </w:rPr>
              <w:t>2</w:t>
            </w:r>
            <w:r w:rsidRPr="00010A46">
              <w:rPr>
                <w:rFonts w:asciiTheme="majorHAnsi" w:eastAsia="Times New Roman" w:hAnsiTheme="majorHAnsi" w:cs="Times New Roman"/>
                <w:color w:val="000000"/>
                <w:sz w:val="18"/>
                <w:szCs w:val="18"/>
              </w:rPr>
              <w:t>e)</w:t>
            </w:r>
          </w:p>
        </w:tc>
      </w:tr>
      <w:tr w:rsidR="00B049D0" w:rsidRPr="00010A46" w14:paraId="7CDCFACE" w14:textId="77777777" w:rsidTr="00B049D0">
        <w:trPr>
          <w:trHeight w:val="300"/>
        </w:trPr>
        <w:tc>
          <w:tcPr>
            <w:tcW w:w="2880" w:type="dxa"/>
            <w:hideMark/>
          </w:tcPr>
          <w:p w14:paraId="68307766" w14:textId="77777777" w:rsidR="00B049D0" w:rsidRPr="00010A46" w:rsidRDefault="00B049D0" w:rsidP="00145809">
            <w:pPr>
              <w:keepNext/>
              <w:spacing w:before="60" w:after="60"/>
              <w:rPr>
                <w:rFonts w:ascii="Calibri" w:eastAsia="Times New Roman" w:hAnsi="Calibri" w:cs="Times New Roman"/>
                <w:color w:val="000000"/>
                <w:szCs w:val="20"/>
              </w:rPr>
            </w:pPr>
            <w:r w:rsidRPr="00010A46">
              <w:rPr>
                <w:rFonts w:ascii="Calibri" w:eastAsia="Times New Roman" w:hAnsi="Calibri" w:cs="Times New Roman"/>
                <w:color w:val="000000"/>
                <w:szCs w:val="20"/>
              </w:rPr>
              <w:t>Households</w:t>
            </w:r>
          </w:p>
        </w:tc>
        <w:tc>
          <w:tcPr>
            <w:tcW w:w="1627" w:type="dxa"/>
            <w:noWrap/>
            <w:hideMark/>
          </w:tcPr>
          <w:p w14:paraId="26618203" w14:textId="77777777" w:rsidR="00B049D0" w:rsidRPr="00010A46" w:rsidRDefault="00B049D0" w:rsidP="00145809">
            <w:pPr>
              <w:keepNext/>
              <w:spacing w:before="60" w:after="60"/>
              <w:rPr>
                <w:rFonts w:ascii="Calibri" w:eastAsia="Times New Roman" w:hAnsi="Calibri" w:cs="Times New Roman"/>
                <w:color w:val="000000"/>
                <w:szCs w:val="20"/>
              </w:rPr>
            </w:pPr>
            <w:r w:rsidRPr="00010A46">
              <w:rPr>
                <w:rFonts w:ascii="Calibri" w:eastAsia="Times New Roman" w:hAnsi="Calibri" w:cs="Times New Roman"/>
                <w:color w:val="000000"/>
                <w:szCs w:val="20"/>
              </w:rPr>
              <w:t>$</w:t>
            </w:r>
            <w:r>
              <w:rPr>
                <w:rFonts w:ascii="Calibri" w:eastAsia="Times New Roman" w:hAnsi="Calibri" w:cs="Times New Roman"/>
                <w:color w:val="000000"/>
                <w:szCs w:val="20"/>
              </w:rPr>
              <w:t>11,189,885</w:t>
            </w:r>
          </w:p>
        </w:tc>
        <w:tc>
          <w:tcPr>
            <w:tcW w:w="1627" w:type="dxa"/>
            <w:noWrap/>
            <w:hideMark/>
          </w:tcPr>
          <w:p w14:paraId="05C56D88" w14:textId="77777777" w:rsidR="00B049D0" w:rsidRPr="00010A46" w:rsidRDefault="00B049D0" w:rsidP="00145809">
            <w:pPr>
              <w:keepNext/>
              <w:spacing w:before="60" w:after="60"/>
              <w:rPr>
                <w:rFonts w:ascii="Calibri" w:eastAsia="Times New Roman" w:hAnsi="Calibri" w:cs="Times New Roman"/>
                <w:color w:val="000000"/>
                <w:szCs w:val="20"/>
              </w:rPr>
            </w:pPr>
            <w:r w:rsidRPr="00010A46">
              <w:rPr>
                <w:rFonts w:ascii="Calibri" w:eastAsia="Times New Roman" w:hAnsi="Calibri" w:cs="Times New Roman"/>
                <w:color w:val="000000"/>
                <w:szCs w:val="20"/>
              </w:rPr>
              <w:t>$</w:t>
            </w:r>
            <w:r>
              <w:rPr>
                <w:rFonts w:ascii="Calibri" w:eastAsia="Times New Roman" w:hAnsi="Calibri" w:cs="Times New Roman"/>
                <w:color w:val="000000"/>
                <w:szCs w:val="20"/>
              </w:rPr>
              <w:t>93,285</w:t>
            </w:r>
          </w:p>
        </w:tc>
        <w:tc>
          <w:tcPr>
            <w:tcW w:w="1627" w:type="dxa"/>
            <w:noWrap/>
            <w:hideMark/>
          </w:tcPr>
          <w:p w14:paraId="0207B5FA" w14:textId="77777777" w:rsidR="00B049D0" w:rsidRPr="00010A46" w:rsidRDefault="00B049D0" w:rsidP="00145809">
            <w:pPr>
              <w:keepNext/>
              <w:spacing w:before="60" w:after="60"/>
              <w:rPr>
                <w:rFonts w:ascii="Calibri" w:eastAsia="Times New Roman" w:hAnsi="Calibri" w:cs="Times New Roman"/>
                <w:color w:val="000000"/>
                <w:szCs w:val="20"/>
              </w:rPr>
            </w:pPr>
            <w:r>
              <w:rPr>
                <w:rFonts w:ascii="Calibri" w:eastAsia="Times New Roman" w:hAnsi="Calibri" w:cs="Times New Roman"/>
                <w:color w:val="000000"/>
                <w:szCs w:val="20"/>
              </w:rPr>
              <w:t>41,241</w:t>
            </w:r>
          </w:p>
        </w:tc>
      </w:tr>
      <w:tr w:rsidR="00B049D0" w:rsidRPr="00010A46" w14:paraId="6B89E23F" w14:textId="77777777" w:rsidTr="00B049D0">
        <w:trPr>
          <w:trHeight w:val="300"/>
        </w:trPr>
        <w:tc>
          <w:tcPr>
            <w:tcW w:w="2880" w:type="dxa"/>
            <w:hideMark/>
          </w:tcPr>
          <w:p w14:paraId="448E9983" w14:textId="77777777" w:rsidR="00B049D0" w:rsidRPr="00010A46" w:rsidRDefault="00B049D0" w:rsidP="00145809">
            <w:pPr>
              <w:keepNext/>
              <w:spacing w:before="60" w:after="60"/>
              <w:rPr>
                <w:rFonts w:ascii="Calibri" w:eastAsia="Times New Roman" w:hAnsi="Calibri" w:cs="Times New Roman"/>
                <w:color w:val="000000"/>
                <w:szCs w:val="20"/>
              </w:rPr>
            </w:pPr>
            <w:r w:rsidRPr="00010A46">
              <w:rPr>
                <w:rFonts w:ascii="Calibri" w:eastAsia="Times New Roman" w:hAnsi="Calibri" w:cs="Times New Roman"/>
                <w:color w:val="000000"/>
                <w:szCs w:val="20"/>
              </w:rPr>
              <w:t>State and Local Government</w:t>
            </w:r>
          </w:p>
        </w:tc>
        <w:tc>
          <w:tcPr>
            <w:tcW w:w="1627" w:type="dxa"/>
            <w:noWrap/>
            <w:hideMark/>
          </w:tcPr>
          <w:p w14:paraId="2DA41DEB" w14:textId="77777777" w:rsidR="00B049D0" w:rsidRPr="00010A46" w:rsidRDefault="00B049D0" w:rsidP="00145809">
            <w:pPr>
              <w:keepNext/>
              <w:spacing w:before="60" w:after="60"/>
              <w:rPr>
                <w:rFonts w:ascii="Calibri" w:eastAsia="Times New Roman" w:hAnsi="Calibri" w:cs="Times New Roman"/>
                <w:color w:val="000000"/>
                <w:szCs w:val="20"/>
              </w:rPr>
            </w:pPr>
            <w:r w:rsidRPr="00010A46">
              <w:rPr>
                <w:rFonts w:ascii="Calibri" w:eastAsia="Times New Roman" w:hAnsi="Calibri" w:cs="Times New Roman"/>
                <w:color w:val="000000"/>
                <w:szCs w:val="20"/>
              </w:rPr>
              <w:t>$</w:t>
            </w:r>
            <w:r>
              <w:rPr>
                <w:rFonts w:ascii="Calibri" w:eastAsia="Times New Roman" w:hAnsi="Calibri" w:cs="Times New Roman"/>
                <w:color w:val="000000"/>
                <w:szCs w:val="20"/>
              </w:rPr>
              <w:t>2,205,050</w:t>
            </w:r>
          </w:p>
        </w:tc>
        <w:tc>
          <w:tcPr>
            <w:tcW w:w="1627" w:type="dxa"/>
            <w:noWrap/>
            <w:hideMark/>
          </w:tcPr>
          <w:p w14:paraId="0C1C865C" w14:textId="77777777" w:rsidR="00B049D0" w:rsidRPr="00010A46" w:rsidRDefault="00B049D0" w:rsidP="00145809">
            <w:pPr>
              <w:keepNext/>
              <w:spacing w:before="60" w:after="60"/>
              <w:rPr>
                <w:rFonts w:ascii="Calibri" w:eastAsia="Times New Roman" w:hAnsi="Calibri" w:cs="Times New Roman"/>
                <w:color w:val="000000"/>
                <w:szCs w:val="20"/>
              </w:rPr>
            </w:pPr>
            <w:r w:rsidRPr="00010A46">
              <w:rPr>
                <w:rFonts w:ascii="Calibri" w:eastAsia="Times New Roman" w:hAnsi="Calibri" w:cs="Times New Roman"/>
                <w:color w:val="000000"/>
                <w:szCs w:val="20"/>
              </w:rPr>
              <w:t>$</w:t>
            </w:r>
            <w:r>
              <w:rPr>
                <w:rFonts w:ascii="Calibri" w:eastAsia="Times New Roman" w:hAnsi="Calibri" w:cs="Times New Roman"/>
                <w:color w:val="000000"/>
                <w:szCs w:val="20"/>
              </w:rPr>
              <w:t>18,091</w:t>
            </w:r>
          </w:p>
        </w:tc>
        <w:tc>
          <w:tcPr>
            <w:tcW w:w="1627" w:type="dxa"/>
            <w:vMerge w:val="restart"/>
            <w:noWrap/>
            <w:vAlign w:val="center"/>
            <w:hideMark/>
          </w:tcPr>
          <w:p w14:paraId="3D5B1D90" w14:textId="77777777" w:rsidR="00B049D0" w:rsidRPr="00010A46" w:rsidRDefault="00B049D0" w:rsidP="00145809">
            <w:pPr>
              <w:keepNext/>
              <w:spacing w:before="60" w:after="60"/>
              <w:rPr>
                <w:rFonts w:ascii="Calibri" w:eastAsia="Times New Roman" w:hAnsi="Calibri" w:cs="Times New Roman"/>
                <w:color w:val="000000"/>
                <w:szCs w:val="20"/>
              </w:rPr>
            </w:pPr>
            <w:proofErr w:type="gramStart"/>
            <w:r>
              <w:rPr>
                <w:rFonts w:ascii="Calibri" w:eastAsia="Times New Roman" w:hAnsi="Calibri" w:cs="Times New Roman"/>
                <w:color w:val="000000"/>
                <w:szCs w:val="20"/>
              </w:rPr>
              <w:t>{ 5,508</w:t>
            </w:r>
            <w:proofErr w:type="gramEnd"/>
            <w:r>
              <w:rPr>
                <w:rFonts w:ascii="Calibri" w:eastAsia="Times New Roman" w:hAnsi="Calibri" w:cs="Times New Roman"/>
                <w:color w:val="000000"/>
                <w:szCs w:val="20"/>
              </w:rPr>
              <w:t xml:space="preserve"> }</w:t>
            </w:r>
          </w:p>
        </w:tc>
      </w:tr>
      <w:tr w:rsidR="00B049D0" w:rsidRPr="00010A46" w14:paraId="3CF1CD6B" w14:textId="77777777" w:rsidTr="00B049D0">
        <w:trPr>
          <w:trHeight w:val="300"/>
        </w:trPr>
        <w:tc>
          <w:tcPr>
            <w:tcW w:w="2880" w:type="dxa"/>
            <w:hideMark/>
          </w:tcPr>
          <w:p w14:paraId="23B968EC" w14:textId="77777777" w:rsidR="00B049D0" w:rsidRPr="00010A46" w:rsidRDefault="00B049D0" w:rsidP="00145809">
            <w:pPr>
              <w:keepNext/>
              <w:spacing w:before="60" w:after="60"/>
              <w:rPr>
                <w:rFonts w:ascii="Calibri" w:eastAsia="Times New Roman" w:hAnsi="Calibri" w:cs="Times New Roman"/>
                <w:color w:val="000000"/>
                <w:szCs w:val="20"/>
              </w:rPr>
            </w:pPr>
            <w:r w:rsidRPr="00010A46">
              <w:rPr>
                <w:rFonts w:ascii="Calibri" w:eastAsia="Times New Roman" w:hAnsi="Calibri" w:cs="Times New Roman"/>
                <w:color w:val="000000"/>
                <w:szCs w:val="20"/>
              </w:rPr>
              <w:t>Federal Government</w:t>
            </w:r>
          </w:p>
        </w:tc>
        <w:tc>
          <w:tcPr>
            <w:tcW w:w="1627" w:type="dxa"/>
            <w:noWrap/>
            <w:hideMark/>
          </w:tcPr>
          <w:p w14:paraId="1AFAFE14" w14:textId="77777777" w:rsidR="00B049D0" w:rsidRPr="00010A46" w:rsidRDefault="00B049D0" w:rsidP="00145809">
            <w:pPr>
              <w:keepNext/>
              <w:spacing w:before="60" w:after="60"/>
              <w:rPr>
                <w:rFonts w:ascii="Calibri" w:eastAsia="Times New Roman" w:hAnsi="Calibri" w:cs="Times New Roman"/>
                <w:color w:val="000000"/>
                <w:szCs w:val="20"/>
              </w:rPr>
            </w:pPr>
            <w:r w:rsidRPr="00010A46">
              <w:rPr>
                <w:rFonts w:ascii="Calibri" w:eastAsia="Times New Roman" w:hAnsi="Calibri" w:cs="Times New Roman"/>
                <w:color w:val="000000"/>
                <w:szCs w:val="20"/>
              </w:rPr>
              <w:t>$</w:t>
            </w:r>
            <w:r>
              <w:rPr>
                <w:rFonts w:ascii="Calibri" w:eastAsia="Times New Roman" w:hAnsi="Calibri" w:cs="Times New Roman"/>
                <w:color w:val="000000"/>
                <w:szCs w:val="20"/>
              </w:rPr>
              <w:t>1,129,312</w:t>
            </w:r>
          </w:p>
        </w:tc>
        <w:tc>
          <w:tcPr>
            <w:tcW w:w="1627" w:type="dxa"/>
            <w:noWrap/>
            <w:hideMark/>
          </w:tcPr>
          <w:p w14:paraId="29F1FEAA" w14:textId="77777777" w:rsidR="00B049D0" w:rsidRPr="00010A46" w:rsidRDefault="00B049D0" w:rsidP="00145809">
            <w:pPr>
              <w:keepNext/>
              <w:spacing w:before="60" w:after="60"/>
              <w:rPr>
                <w:rFonts w:ascii="Calibri" w:eastAsia="Times New Roman" w:hAnsi="Calibri" w:cs="Times New Roman"/>
                <w:color w:val="000000"/>
                <w:szCs w:val="20"/>
              </w:rPr>
            </w:pPr>
            <w:r w:rsidRPr="00010A46">
              <w:rPr>
                <w:rFonts w:ascii="Calibri" w:eastAsia="Times New Roman" w:hAnsi="Calibri" w:cs="Times New Roman"/>
                <w:color w:val="000000"/>
                <w:szCs w:val="20"/>
              </w:rPr>
              <w:t>$</w:t>
            </w:r>
            <w:r>
              <w:rPr>
                <w:rFonts w:ascii="Calibri" w:eastAsia="Times New Roman" w:hAnsi="Calibri" w:cs="Times New Roman"/>
                <w:color w:val="000000"/>
                <w:szCs w:val="20"/>
              </w:rPr>
              <w:t>5,337</w:t>
            </w:r>
          </w:p>
        </w:tc>
        <w:tc>
          <w:tcPr>
            <w:tcW w:w="1627" w:type="dxa"/>
            <w:vMerge/>
            <w:hideMark/>
          </w:tcPr>
          <w:p w14:paraId="43C3787B" w14:textId="77777777" w:rsidR="00B049D0" w:rsidRPr="00010A46" w:rsidRDefault="00B049D0" w:rsidP="00145809">
            <w:pPr>
              <w:keepNext/>
              <w:spacing w:before="60" w:after="60"/>
              <w:rPr>
                <w:rFonts w:ascii="Calibri" w:eastAsia="Times New Roman" w:hAnsi="Calibri" w:cs="Times New Roman"/>
                <w:color w:val="000000"/>
                <w:szCs w:val="20"/>
              </w:rPr>
            </w:pPr>
          </w:p>
        </w:tc>
      </w:tr>
      <w:tr w:rsidR="00B049D0" w:rsidRPr="00010A46" w14:paraId="6D6293EA" w14:textId="77777777" w:rsidTr="00B049D0">
        <w:trPr>
          <w:trHeight w:val="300"/>
        </w:trPr>
        <w:tc>
          <w:tcPr>
            <w:tcW w:w="2880" w:type="dxa"/>
            <w:hideMark/>
          </w:tcPr>
          <w:p w14:paraId="23624755" w14:textId="77777777" w:rsidR="00B049D0" w:rsidRPr="00010A46" w:rsidRDefault="00B049D0" w:rsidP="00145809">
            <w:pPr>
              <w:keepNext/>
              <w:spacing w:before="60" w:after="60"/>
              <w:rPr>
                <w:rFonts w:ascii="Calibri" w:eastAsia="Times New Roman" w:hAnsi="Calibri" w:cs="Times New Roman"/>
                <w:color w:val="000000"/>
                <w:szCs w:val="20"/>
              </w:rPr>
            </w:pPr>
            <w:r w:rsidRPr="00010A46">
              <w:rPr>
                <w:rFonts w:ascii="Calibri" w:eastAsia="Times New Roman" w:hAnsi="Calibri" w:cs="Times New Roman"/>
                <w:color w:val="000000"/>
                <w:szCs w:val="20"/>
              </w:rPr>
              <w:t>Business Investment</w:t>
            </w:r>
          </w:p>
        </w:tc>
        <w:tc>
          <w:tcPr>
            <w:tcW w:w="1627" w:type="dxa"/>
            <w:noWrap/>
            <w:hideMark/>
          </w:tcPr>
          <w:p w14:paraId="0C5749F8" w14:textId="77777777" w:rsidR="00B049D0" w:rsidRPr="00010A46" w:rsidRDefault="00B049D0" w:rsidP="00145809">
            <w:pPr>
              <w:keepNext/>
              <w:spacing w:before="60" w:after="60"/>
              <w:rPr>
                <w:rFonts w:ascii="Calibri" w:eastAsia="Times New Roman" w:hAnsi="Calibri" w:cs="Times New Roman"/>
                <w:color w:val="000000"/>
                <w:szCs w:val="20"/>
              </w:rPr>
            </w:pPr>
            <w:r w:rsidRPr="00010A46">
              <w:rPr>
                <w:rFonts w:ascii="Calibri" w:eastAsia="Times New Roman" w:hAnsi="Calibri" w:cs="Times New Roman"/>
                <w:color w:val="000000"/>
                <w:szCs w:val="20"/>
              </w:rPr>
              <w:t>$</w:t>
            </w:r>
            <w:r>
              <w:rPr>
                <w:rFonts w:ascii="Calibri" w:eastAsia="Times New Roman" w:hAnsi="Calibri" w:cs="Times New Roman"/>
                <w:color w:val="000000"/>
                <w:szCs w:val="20"/>
              </w:rPr>
              <w:t>2,983,140</w:t>
            </w:r>
          </w:p>
        </w:tc>
        <w:tc>
          <w:tcPr>
            <w:tcW w:w="1627" w:type="dxa"/>
            <w:noWrap/>
            <w:hideMark/>
          </w:tcPr>
          <w:p w14:paraId="0BBD6A84" w14:textId="77777777" w:rsidR="00B049D0" w:rsidRPr="00010A46" w:rsidRDefault="00B049D0" w:rsidP="00145809">
            <w:pPr>
              <w:keepNext/>
              <w:spacing w:before="60" w:after="60"/>
              <w:rPr>
                <w:rFonts w:ascii="Calibri" w:eastAsia="Times New Roman" w:hAnsi="Calibri" w:cs="Times New Roman"/>
                <w:color w:val="000000"/>
                <w:szCs w:val="20"/>
              </w:rPr>
            </w:pPr>
            <w:r w:rsidRPr="00010A46">
              <w:rPr>
                <w:rFonts w:ascii="Calibri" w:eastAsia="Times New Roman" w:hAnsi="Calibri" w:cs="Times New Roman"/>
                <w:color w:val="000000"/>
                <w:szCs w:val="20"/>
              </w:rPr>
              <w:t>$</w:t>
            </w:r>
            <w:r>
              <w:rPr>
                <w:rFonts w:ascii="Calibri" w:eastAsia="Times New Roman" w:hAnsi="Calibri" w:cs="Times New Roman"/>
                <w:color w:val="000000"/>
                <w:szCs w:val="20"/>
              </w:rPr>
              <w:t>31,405</w:t>
            </w:r>
          </w:p>
        </w:tc>
        <w:tc>
          <w:tcPr>
            <w:tcW w:w="1627" w:type="dxa"/>
            <w:noWrap/>
            <w:hideMark/>
          </w:tcPr>
          <w:p w14:paraId="7CABFF00" w14:textId="77777777" w:rsidR="00B049D0" w:rsidRPr="00010A46" w:rsidRDefault="00B049D0" w:rsidP="00145809">
            <w:pPr>
              <w:keepNext/>
              <w:spacing w:before="60" w:after="60"/>
              <w:rPr>
                <w:rFonts w:ascii="Calibri" w:eastAsia="Times New Roman" w:hAnsi="Calibri" w:cs="Times New Roman"/>
                <w:color w:val="000000"/>
                <w:szCs w:val="20"/>
              </w:rPr>
            </w:pPr>
            <w:r>
              <w:rPr>
                <w:rFonts w:ascii="Calibri" w:eastAsia="Times New Roman" w:hAnsi="Calibri" w:cs="Times New Roman"/>
                <w:color w:val="000000"/>
                <w:szCs w:val="20"/>
              </w:rPr>
              <w:t>11,415</w:t>
            </w:r>
          </w:p>
        </w:tc>
      </w:tr>
      <w:tr w:rsidR="00B049D0" w:rsidRPr="00010A46" w14:paraId="79985C90" w14:textId="77777777" w:rsidTr="00B049D0">
        <w:trPr>
          <w:trHeight w:val="300"/>
        </w:trPr>
        <w:tc>
          <w:tcPr>
            <w:tcW w:w="2880" w:type="dxa"/>
            <w:hideMark/>
          </w:tcPr>
          <w:p w14:paraId="79D16E04" w14:textId="77777777" w:rsidR="00B049D0" w:rsidRPr="00010A46" w:rsidRDefault="00B049D0" w:rsidP="00145809">
            <w:pPr>
              <w:keepNext/>
              <w:spacing w:before="60" w:after="60"/>
              <w:rPr>
                <w:rFonts w:ascii="Calibri" w:eastAsia="Times New Roman" w:hAnsi="Calibri" w:cs="Times New Roman"/>
                <w:b/>
                <w:bCs/>
                <w:color w:val="000000"/>
                <w:szCs w:val="20"/>
              </w:rPr>
            </w:pPr>
            <w:r w:rsidRPr="00010A46">
              <w:rPr>
                <w:rFonts w:ascii="Calibri" w:eastAsia="Times New Roman" w:hAnsi="Calibri" w:cs="Times New Roman"/>
                <w:bCs/>
                <w:color w:val="000000"/>
                <w:szCs w:val="20"/>
              </w:rPr>
              <w:t>Total</w:t>
            </w:r>
          </w:p>
        </w:tc>
        <w:tc>
          <w:tcPr>
            <w:tcW w:w="1627" w:type="dxa"/>
            <w:noWrap/>
            <w:hideMark/>
          </w:tcPr>
          <w:p w14:paraId="727692F3" w14:textId="77777777" w:rsidR="00B049D0" w:rsidRPr="00010A46" w:rsidRDefault="00B049D0" w:rsidP="00145809">
            <w:pPr>
              <w:keepNext/>
              <w:pBdr>
                <w:top w:val="single" w:sz="4" w:space="1" w:color="auto"/>
              </w:pBdr>
              <w:spacing w:before="60" w:after="60"/>
              <w:rPr>
                <w:rFonts w:ascii="Calibri" w:eastAsia="Times New Roman" w:hAnsi="Calibri" w:cs="Times New Roman"/>
                <w:b/>
                <w:bCs/>
                <w:color w:val="000000"/>
                <w:szCs w:val="20"/>
              </w:rPr>
            </w:pPr>
            <w:r w:rsidRPr="00010A46">
              <w:rPr>
                <w:rFonts w:ascii="Calibri" w:eastAsia="Times New Roman" w:hAnsi="Calibri" w:cs="Times New Roman"/>
                <w:b/>
                <w:bCs/>
                <w:color w:val="000000"/>
                <w:szCs w:val="20"/>
              </w:rPr>
              <w:t>$</w:t>
            </w:r>
            <w:r>
              <w:rPr>
                <w:rFonts w:ascii="Calibri" w:eastAsia="Times New Roman" w:hAnsi="Calibri" w:cs="Times New Roman"/>
                <w:b/>
                <w:bCs/>
                <w:color w:val="000000"/>
                <w:szCs w:val="20"/>
              </w:rPr>
              <w:t>17,507,387</w:t>
            </w:r>
          </w:p>
        </w:tc>
        <w:tc>
          <w:tcPr>
            <w:tcW w:w="1627" w:type="dxa"/>
            <w:noWrap/>
            <w:hideMark/>
          </w:tcPr>
          <w:p w14:paraId="49F06C16" w14:textId="77777777" w:rsidR="00B049D0" w:rsidRPr="00010A46" w:rsidRDefault="00B049D0" w:rsidP="00145809">
            <w:pPr>
              <w:keepNext/>
              <w:pBdr>
                <w:top w:val="single" w:sz="4" w:space="0" w:color="auto"/>
              </w:pBdr>
              <w:spacing w:before="60" w:after="60"/>
              <w:rPr>
                <w:rFonts w:ascii="Calibri" w:eastAsia="Times New Roman" w:hAnsi="Calibri" w:cs="Times New Roman"/>
                <w:b/>
                <w:bCs/>
                <w:color w:val="000000"/>
                <w:szCs w:val="20"/>
              </w:rPr>
            </w:pPr>
            <w:r w:rsidRPr="00010A46">
              <w:rPr>
                <w:rFonts w:ascii="Calibri" w:eastAsia="Times New Roman" w:hAnsi="Calibri" w:cs="Times New Roman"/>
                <w:b/>
                <w:bCs/>
                <w:color w:val="000000"/>
                <w:szCs w:val="20"/>
              </w:rPr>
              <w:t>$1</w:t>
            </w:r>
            <w:r>
              <w:rPr>
                <w:rFonts w:ascii="Calibri" w:eastAsia="Times New Roman" w:hAnsi="Calibri" w:cs="Times New Roman"/>
                <w:b/>
                <w:bCs/>
                <w:color w:val="000000"/>
                <w:szCs w:val="20"/>
              </w:rPr>
              <w:t>48</w:t>
            </w:r>
            <w:r w:rsidRPr="00010A46">
              <w:rPr>
                <w:rFonts w:ascii="Calibri" w:eastAsia="Times New Roman" w:hAnsi="Calibri" w:cs="Times New Roman"/>
                <w:b/>
                <w:bCs/>
                <w:color w:val="000000"/>
                <w:szCs w:val="20"/>
              </w:rPr>
              <w:t>,</w:t>
            </w:r>
            <w:r>
              <w:rPr>
                <w:rFonts w:ascii="Calibri" w:eastAsia="Times New Roman" w:hAnsi="Calibri" w:cs="Times New Roman"/>
                <w:b/>
                <w:bCs/>
                <w:color w:val="000000"/>
                <w:szCs w:val="20"/>
              </w:rPr>
              <w:t>118</w:t>
            </w:r>
          </w:p>
        </w:tc>
        <w:tc>
          <w:tcPr>
            <w:tcW w:w="1627" w:type="dxa"/>
            <w:noWrap/>
            <w:hideMark/>
          </w:tcPr>
          <w:p w14:paraId="276F72EB" w14:textId="77777777" w:rsidR="00B049D0" w:rsidRPr="00010A46" w:rsidRDefault="00B049D0" w:rsidP="00145809">
            <w:pPr>
              <w:keepNext/>
              <w:pBdr>
                <w:top w:val="single" w:sz="4" w:space="0" w:color="auto"/>
              </w:pBdr>
              <w:spacing w:before="60" w:after="60"/>
              <w:rPr>
                <w:rFonts w:ascii="Calibri" w:eastAsia="Times New Roman" w:hAnsi="Calibri" w:cs="Times New Roman"/>
                <w:b/>
                <w:bCs/>
                <w:color w:val="000000"/>
                <w:szCs w:val="20"/>
              </w:rPr>
            </w:pPr>
            <w:r>
              <w:rPr>
                <w:rFonts w:ascii="Calibri" w:eastAsia="Times New Roman" w:hAnsi="Calibri" w:cs="Times New Roman"/>
                <w:b/>
                <w:bCs/>
                <w:color w:val="000000"/>
                <w:szCs w:val="20"/>
              </w:rPr>
              <w:t>58,165</w:t>
            </w:r>
          </w:p>
        </w:tc>
      </w:tr>
    </w:tbl>
    <w:p w14:paraId="2E4EFB11" w14:textId="77777777" w:rsidR="00B049D0" w:rsidRDefault="00B049D0" w:rsidP="00B049D0">
      <w:r>
        <w:t>Tables 3 through 6 compare the total calculated emissions in 2008 and in 2015 for each commodity sector category, institution type, geography, and lifecycle phase</w:t>
      </w:r>
      <w:r w:rsidRPr="001C1536">
        <w:rPr>
          <w:vertAlign w:val="superscript"/>
        </w:rPr>
        <w:fldChar w:fldCharType="begin"/>
      </w:r>
      <w:r w:rsidRPr="001C1536">
        <w:rPr>
          <w:vertAlign w:val="superscript"/>
        </w:rPr>
        <w:instrText xml:space="preserve"> NOTEREF _Ref489613748 \h </w:instrText>
      </w:r>
      <w:r>
        <w:rPr>
          <w:vertAlign w:val="superscript"/>
        </w:rPr>
        <w:instrText xml:space="preserve"> \* MERGEFORMAT </w:instrText>
      </w:r>
      <w:r w:rsidRPr="001C1536">
        <w:rPr>
          <w:vertAlign w:val="superscript"/>
        </w:rPr>
      </w:r>
      <w:r w:rsidRPr="001C1536">
        <w:rPr>
          <w:vertAlign w:val="superscript"/>
        </w:rPr>
        <w:fldChar w:fldCharType="separate"/>
      </w:r>
      <w:r>
        <w:rPr>
          <w:vertAlign w:val="superscript"/>
        </w:rPr>
        <w:t>6</w:t>
      </w:r>
      <w:r w:rsidRPr="001C1536">
        <w:rPr>
          <w:vertAlign w:val="superscript"/>
        </w:rPr>
        <w:fldChar w:fldCharType="end"/>
      </w:r>
      <w:r>
        <w:t xml:space="preserve">.  </w:t>
      </w:r>
    </w:p>
    <w:p w14:paraId="52A93C1D" w14:textId="6A88F65D" w:rsidR="00145809" w:rsidRDefault="00145809" w:rsidP="00145809">
      <w:pPr>
        <w:pStyle w:val="Caption"/>
        <w:spacing w:before="240" w:line="252" w:lineRule="auto"/>
        <w:ind w:left="1440"/>
      </w:pPr>
      <w:r>
        <w:lastRenderedPageBreak/>
        <w:t xml:space="preserve">Table </w:t>
      </w:r>
      <w:fldSimple w:instr=" SEQ Table \* ARABIC ">
        <w:r w:rsidR="00F638BC">
          <w:rPr>
            <w:noProof/>
          </w:rPr>
          <w:t>11</w:t>
        </w:r>
      </w:fldSimple>
      <w:r>
        <w:t>: King County Total Emissions, 2008 and 2015 (1000 tCO</w:t>
      </w:r>
      <w:r w:rsidRPr="006E6DE6">
        <w:rPr>
          <w:vertAlign w:val="subscript"/>
        </w:rPr>
        <w:t>2</w:t>
      </w:r>
      <w:r>
        <w:t>e)</w:t>
      </w:r>
    </w:p>
    <w:p w14:paraId="2871F3C2" w14:textId="77777777" w:rsidR="00B049D0" w:rsidRDefault="00B049D0" w:rsidP="00145809">
      <w:pPr>
        <w:ind w:left="1440"/>
      </w:pPr>
      <w:r w:rsidRPr="006E6DE6">
        <w:rPr>
          <w:noProof/>
        </w:rPr>
        <w:drawing>
          <wp:inline distT="0" distB="0" distL="0" distR="0" wp14:anchorId="279CD9B0" wp14:editId="4758057C">
            <wp:extent cx="3343275" cy="3448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3275" cy="3448050"/>
                    </a:xfrm>
                    <a:prstGeom prst="rect">
                      <a:avLst/>
                    </a:prstGeom>
                    <a:noFill/>
                    <a:ln>
                      <a:noFill/>
                    </a:ln>
                  </pic:spPr>
                </pic:pic>
              </a:graphicData>
            </a:graphic>
          </wp:inline>
        </w:drawing>
      </w:r>
    </w:p>
    <w:p w14:paraId="5D5AC8B7" w14:textId="295C3025" w:rsidR="00B049D0" w:rsidRDefault="00B049D0" w:rsidP="00B049D0">
      <w:r>
        <w:t xml:space="preserve">Table 3 shows the emissions for all institution types, geographies, and lifecycle phases combined.  Here and in all remaining tables the emissions results are grouped into 16 categories, each of which is an aggregate of </w:t>
      </w:r>
      <w:proofErr w:type="gramStart"/>
      <w:r>
        <w:t>a number of</w:t>
      </w:r>
      <w:proofErr w:type="gramEnd"/>
      <w:r>
        <w:t xml:space="preserve"> the 440 IMPLAN sectors.  In </w:t>
      </w:r>
      <w:proofErr w:type="gramStart"/>
      <w:r>
        <w:t>general</w:t>
      </w:r>
      <w:proofErr w:type="gramEnd"/>
      <w:r>
        <w:t xml:space="preserve"> the share of emissions by category in 2008 and 2015 are similar, for example in both years relatively high emissions are found in the categories Vehicles &amp; Vehicle Parts, Appliances, Food &amp; Beverages, and Services accounting for more than half of the total from all categories.</w:t>
      </w:r>
    </w:p>
    <w:p w14:paraId="07E46E81" w14:textId="208B663A" w:rsidR="00145809" w:rsidRDefault="00145809" w:rsidP="00145809">
      <w:pPr>
        <w:pStyle w:val="Caption"/>
        <w:ind w:left="360"/>
      </w:pPr>
      <w:r>
        <w:lastRenderedPageBreak/>
        <w:t xml:space="preserve">Table </w:t>
      </w:r>
      <w:fldSimple w:instr=" SEQ Table \* ARABIC ">
        <w:r w:rsidR="00F638BC">
          <w:rPr>
            <w:noProof/>
          </w:rPr>
          <w:t>12</w:t>
        </w:r>
      </w:fldSimple>
      <w:r>
        <w:t>:King County Emissions by Institution Type, 2008 and 2015 (1000 tCO</w:t>
      </w:r>
      <w:r w:rsidRPr="006E6DE6">
        <w:rPr>
          <w:vertAlign w:val="subscript"/>
        </w:rPr>
        <w:t>2</w:t>
      </w:r>
      <w:r>
        <w:t>e)</w:t>
      </w:r>
    </w:p>
    <w:p w14:paraId="7ED2F030" w14:textId="77777777" w:rsidR="00B049D0" w:rsidRDefault="00B049D0" w:rsidP="00145809">
      <w:pPr>
        <w:ind w:left="360"/>
      </w:pPr>
      <w:r w:rsidRPr="006E6DE6">
        <w:rPr>
          <w:noProof/>
        </w:rPr>
        <w:drawing>
          <wp:inline distT="0" distB="0" distL="0" distR="0" wp14:anchorId="16D74A01" wp14:editId="5C3EC7AD">
            <wp:extent cx="5410200" cy="4162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0200" cy="4162425"/>
                    </a:xfrm>
                    <a:prstGeom prst="rect">
                      <a:avLst/>
                    </a:prstGeom>
                    <a:noFill/>
                    <a:ln>
                      <a:noFill/>
                    </a:ln>
                  </pic:spPr>
                </pic:pic>
              </a:graphicData>
            </a:graphic>
          </wp:inline>
        </w:drawing>
      </w:r>
    </w:p>
    <w:p w14:paraId="51728C99" w14:textId="148B49B3" w:rsidR="00B049D0" w:rsidRDefault="00B049D0" w:rsidP="00B049D0">
      <w:r>
        <w:t xml:space="preserve">Table 4 shows the emissions broken out by institution type: household, government (combined State, Local, and Federal), and business.  These institution types are as defined by IMPLAN and carried through the CBEI modeler.  In 2015 households are responsible for 63% of total demand and 71% of the total emissions.  Households are responsible for the greatest share of the total emissions within nearly all categories, notably those with the greatest emissions impact.  For example, within the Appliances, Food &amp; Beverages, and Services categories, households account for 80%, 95%, and 80% of the total emissions, respectively.  Within the Vehicles &amp; Vehicle Parts category (the largest single category in terms of total emissions), households account for 64% of total category emissions, which, while still </w:t>
      </w:r>
      <w:proofErr w:type="gramStart"/>
      <w:r>
        <w:t>the majority of</w:t>
      </w:r>
      <w:proofErr w:type="gramEnd"/>
      <w:r>
        <w:t xml:space="preserve"> that category total, is a relatively lower share than is seen for those other large categories and for the total from all categories.  Business demand includes </w:t>
      </w:r>
      <w:r w:rsidRPr="00083553">
        <w:t>only</w:t>
      </w:r>
      <w:r>
        <w:t xml:space="preserve"> business investment in capital; and excludes spending on goods or services sold to households, government, or other businesses.</w:t>
      </w:r>
      <w:r>
        <w:rPr>
          <w:rStyle w:val="FootnoteReference"/>
        </w:rPr>
        <w:footnoteReference w:id="10"/>
      </w:r>
      <w:r>
        <w:t xml:space="preserve"> Business spending on those sold goods or services is ascribed instead to the institution type of each good or service’s end-user.</w:t>
      </w:r>
    </w:p>
    <w:p w14:paraId="17992F13" w14:textId="241363B1" w:rsidR="004A338F" w:rsidRDefault="004A338F" w:rsidP="004A338F">
      <w:pPr>
        <w:pStyle w:val="Caption"/>
        <w:ind w:left="360"/>
      </w:pPr>
      <w:r>
        <w:lastRenderedPageBreak/>
        <w:t xml:space="preserve">Table </w:t>
      </w:r>
      <w:fldSimple w:instr=" SEQ Table \* ARABIC ">
        <w:r w:rsidR="00F638BC">
          <w:rPr>
            <w:noProof/>
          </w:rPr>
          <w:t>13</w:t>
        </w:r>
      </w:fldSimple>
      <w:r>
        <w:t>: King County Emissions by Geography, 2008 and 2015 (1000 tCO</w:t>
      </w:r>
      <w:r w:rsidRPr="006E6DE6">
        <w:rPr>
          <w:vertAlign w:val="subscript"/>
        </w:rPr>
        <w:t>2</w:t>
      </w:r>
      <w:r>
        <w:t>e)</w:t>
      </w:r>
    </w:p>
    <w:p w14:paraId="3288A838" w14:textId="77777777" w:rsidR="00B049D0" w:rsidRDefault="00B049D0" w:rsidP="004A338F">
      <w:pPr>
        <w:ind w:left="360"/>
      </w:pPr>
      <w:r w:rsidRPr="006E6DE6">
        <w:rPr>
          <w:noProof/>
        </w:rPr>
        <w:drawing>
          <wp:inline distT="0" distB="0" distL="0" distR="0" wp14:anchorId="6F7F2457" wp14:editId="7BA21E67">
            <wp:extent cx="5153025" cy="4219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3025" cy="4219575"/>
                    </a:xfrm>
                    <a:prstGeom prst="rect">
                      <a:avLst/>
                    </a:prstGeom>
                    <a:noFill/>
                    <a:ln>
                      <a:noFill/>
                    </a:ln>
                  </pic:spPr>
                </pic:pic>
              </a:graphicData>
            </a:graphic>
          </wp:inline>
        </w:drawing>
      </w:r>
    </w:p>
    <w:p w14:paraId="7EF211AB" w14:textId="77DF123C" w:rsidR="00B049D0" w:rsidRDefault="00B049D0" w:rsidP="00B049D0">
      <w:r>
        <w:t>Table 5 shows the emissions allocated among the three CBEI geographies: King County, U.S. except King County, and foreign (outside of U.S.).  The geography is not directly provided in the IMPLAN data, the CBEI modeler uses the 2015 county-level demand and import data together with the 2015 U.S.-level demand and import data to calculate foreign import rates by sector and distribute the demand to the three geographies (see Appendix D to the 2008 King County GHG inventory report</w:t>
      </w:r>
      <w:r w:rsidRPr="00BE651E">
        <w:rPr>
          <w:vertAlign w:val="superscript"/>
        </w:rPr>
        <w:fldChar w:fldCharType="begin"/>
      </w:r>
      <w:r w:rsidRPr="00BE651E">
        <w:rPr>
          <w:vertAlign w:val="superscript"/>
        </w:rPr>
        <w:instrText xml:space="preserve"> NOTEREF _Ref487149028 \h </w:instrText>
      </w:r>
      <w:r>
        <w:rPr>
          <w:vertAlign w:val="superscript"/>
        </w:rPr>
        <w:instrText xml:space="preserve"> \* MERGEFORMAT </w:instrText>
      </w:r>
      <w:r w:rsidRPr="00BE651E">
        <w:rPr>
          <w:vertAlign w:val="superscript"/>
        </w:rPr>
      </w:r>
      <w:r w:rsidRPr="00BE651E">
        <w:rPr>
          <w:vertAlign w:val="superscript"/>
        </w:rPr>
        <w:fldChar w:fldCharType="separate"/>
      </w:r>
      <w:r>
        <w:rPr>
          <w:vertAlign w:val="superscript"/>
        </w:rPr>
        <w:t>1</w:t>
      </w:r>
      <w:r w:rsidRPr="00BE651E">
        <w:rPr>
          <w:vertAlign w:val="superscript"/>
        </w:rPr>
        <w:fldChar w:fldCharType="end"/>
      </w:r>
      <w:r>
        <w:t xml:space="preserve"> for greater detail).  The results show about 36% of the total emissions attributed to King County (primarily appliances and vehicles), 38% attributed within the U.S. and outside of King County (primarily Food &amp; Beverages, Services, Vehicles &amp; Vehicle Parts, Construction, and Health Care), and 26% attributed to foreign production.  The emissions attributed to each geography include use phase emissions (see Table 6, discussed below), hence the categories such as vehicles and appliances, which consume energy in their use, show </w:t>
      </w:r>
      <w:proofErr w:type="gramStart"/>
      <w:r>
        <w:t>the majority of</w:t>
      </w:r>
      <w:proofErr w:type="gramEnd"/>
      <w:r>
        <w:t xml:space="preserve"> their emissions attributed to King County.</w:t>
      </w:r>
    </w:p>
    <w:p w14:paraId="6130D26B" w14:textId="77777777" w:rsidR="00B049D0" w:rsidRDefault="00B049D0" w:rsidP="00B049D0">
      <w:pPr>
        <w:sectPr w:rsidR="00B049D0" w:rsidSect="005F4CC2">
          <w:headerReference w:type="default" r:id="rId38"/>
          <w:footerReference w:type="default" r:id="rId39"/>
          <w:headerReference w:type="first" r:id="rId40"/>
          <w:footerReference w:type="first" r:id="rId41"/>
          <w:pgSz w:w="12240" w:h="15840"/>
          <w:pgMar w:top="1656" w:right="1440" w:bottom="1440" w:left="1440" w:header="720" w:footer="720" w:gutter="0"/>
          <w:cols w:space="720"/>
          <w:titlePg/>
          <w:docGrid w:linePitch="360"/>
        </w:sectPr>
      </w:pPr>
    </w:p>
    <w:p w14:paraId="29C0E00B" w14:textId="55E19A95" w:rsidR="00145809" w:rsidRDefault="00145809" w:rsidP="00145809">
      <w:pPr>
        <w:pStyle w:val="Caption"/>
        <w:spacing w:before="0"/>
      </w:pPr>
      <w:r>
        <w:lastRenderedPageBreak/>
        <w:t xml:space="preserve">Table </w:t>
      </w:r>
      <w:fldSimple w:instr=" SEQ Table \* ARABIC ">
        <w:r w:rsidR="00F638BC">
          <w:rPr>
            <w:noProof/>
          </w:rPr>
          <w:t>14</w:t>
        </w:r>
      </w:fldSimple>
      <w:r>
        <w:t>: King County Emissions by Lifecycle Phase, 2008 and 2015 (1000 tCO</w:t>
      </w:r>
      <w:r w:rsidRPr="006E6DE6">
        <w:rPr>
          <w:vertAlign w:val="subscript"/>
        </w:rPr>
        <w:t>2</w:t>
      </w:r>
      <w:r>
        <w:t>e)</w:t>
      </w:r>
    </w:p>
    <w:p w14:paraId="70143116" w14:textId="41ED61EE" w:rsidR="00B049D0" w:rsidRDefault="00B049D0" w:rsidP="00B049D0">
      <w:r w:rsidRPr="006E6DE6">
        <w:rPr>
          <w:noProof/>
        </w:rPr>
        <w:drawing>
          <wp:inline distT="0" distB="0" distL="0" distR="0" wp14:anchorId="51AC0663" wp14:editId="4F7DE54C">
            <wp:extent cx="7772400" cy="4162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4162425"/>
                    </a:xfrm>
                    <a:prstGeom prst="rect">
                      <a:avLst/>
                    </a:prstGeom>
                    <a:noFill/>
                    <a:ln>
                      <a:noFill/>
                    </a:ln>
                  </pic:spPr>
                </pic:pic>
              </a:graphicData>
            </a:graphic>
          </wp:inline>
        </w:drawing>
      </w:r>
    </w:p>
    <w:p w14:paraId="497C733C" w14:textId="77777777" w:rsidR="00B049D0" w:rsidRDefault="00B049D0" w:rsidP="00B049D0">
      <w:pPr>
        <w:sectPr w:rsidR="00B049D0" w:rsidSect="00145809">
          <w:pgSz w:w="15840" w:h="12240" w:orient="landscape" w:code="1"/>
          <w:pgMar w:top="1440" w:right="1656" w:bottom="1440" w:left="1440" w:header="720" w:footer="720" w:gutter="0"/>
          <w:cols w:space="720"/>
          <w:docGrid w:linePitch="360"/>
        </w:sectPr>
      </w:pPr>
    </w:p>
    <w:p w14:paraId="51AB95D7" w14:textId="77777777" w:rsidR="00B049D0" w:rsidRDefault="00B049D0" w:rsidP="00B049D0">
      <w:r>
        <w:lastRenderedPageBreak/>
        <w:t xml:space="preserve">Table 6 shows the emissions allocated among the five lifecycle phases:  production, pre-purchase transport, wholesale and retail, use, and disposal.  The first three phases are calculated using the emissions coefficients applied to the demand on each sector, after King County final demand has been allocated across emitting sectors using the 440x440 commodity multiplier matrix.  Use phase emissions occur </w:t>
      </w:r>
      <w:r>
        <w:rPr>
          <w:i/>
        </w:rPr>
        <w:t xml:space="preserve">after </w:t>
      </w:r>
      <w:r>
        <w:t>product purchase by the household or government end-user</w:t>
      </w:r>
      <w:bookmarkStart w:id="64" w:name="_Ref490488390"/>
      <w:r>
        <w:rPr>
          <w:rStyle w:val="FootnoteReference"/>
        </w:rPr>
        <w:footnoteReference w:id="11"/>
      </w:r>
      <w:bookmarkEnd w:id="64"/>
      <w:r>
        <w:t xml:space="preserve">. Examples are fuel consumption in private vehicles or furnaces; and electricity consumption by electronics, appliances, or lighting.  The disposal phase represents emissions associated with the disposal of post-consumer waste in landfills or incineration of waste.  The production phase accounts for </w:t>
      </w:r>
      <w:proofErr w:type="gramStart"/>
      <w:r>
        <w:t>the majority of</w:t>
      </w:r>
      <w:proofErr w:type="gramEnd"/>
      <w:r>
        <w:t xml:space="preserve"> emissions from most categories; however, as noted below</w:t>
      </w:r>
      <w:r w:rsidRPr="000A30A8">
        <w:rPr>
          <w:vertAlign w:val="superscript"/>
        </w:rPr>
        <w:fldChar w:fldCharType="begin"/>
      </w:r>
      <w:r w:rsidRPr="000A30A8">
        <w:rPr>
          <w:vertAlign w:val="superscript"/>
        </w:rPr>
        <w:instrText xml:space="preserve"> NOTEREF _Ref490488390 \h </w:instrText>
      </w:r>
      <w:r>
        <w:rPr>
          <w:vertAlign w:val="superscript"/>
        </w:rPr>
        <w:instrText xml:space="preserve"> \* MERGEFORMAT </w:instrText>
      </w:r>
      <w:r w:rsidRPr="000A30A8">
        <w:rPr>
          <w:vertAlign w:val="superscript"/>
        </w:rPr>
      </w:r>
      <w:r w:rsidRPr="000A30A8">
        <w:rPr>
          <w:vertAlign w:val="superscript"/>
        </w:rPr>
        <w:fldChar w:fldCharType="separate"/>
      </w:r>
      <w:r>
        <w:rPr>
          <w:vertAlign w:val="superscript"/>
        </w:rPr>
        <w:t>8</w:t>
      </w:r>
      <w:r w:rsidRPr="000A30A8">
        <w:rPr>
          <w:vertAlign w:val="superscript"/>
        </w:rPr>
        <w:fldChar w:fldCharType="end"/>
      </w:r>
      <w:r>
        <w:t xml:space="preserve">, some of the pre-purchase emissions are due to energy use and disposal by the business providing a product or service.  </w:t>
      </w:r>
      <w:proofErr w:type="gramStart"/>
      <w:r>
        <w:t>The majority of</w:t>
      </w:r>
      <w:proofErr w:type="gramEnd"/>
      <w:r>
        <w:t xml:space="preserve"> use-phase emissions occur in the Appliance, Vehicles &amp; Vehicle Parts, Electronics, and Home Yard &amp; Office categories. Significant disposal phase emissions appear mostly in the Food &amp; Beverage, Forest Products, Home Yard &amp; Office, and Services categories.</w:t>
      </w:r>
    </w:p>
    <w:p w14:paraId="3EA02C6D" w14:textId="77777777" w:rsidR="00B049D0" w:rsidRDefault="00B049D0" w:rsidP="00B049D0">
      <w:pPr>
        <w:pStyle w:val="Heading2"/>
      </w:pPr>
      <w:bookmarkStart w:id="65" w:name="_Toc493104910"/>
      <w:r>
        <w:t>Discussion</w:t>
      </w:r>
      <w:bookmarkEnd w:id="65"/>
    </w:p>
    <w:p w14:paraId="21D52AD7" w14:textId="77777777" w:rsidR="00B049D0" w:rsidRDefault="00B049D0" w:rsidP="00B049D0">
      <w:pPr>
        <w:pStyle w:val="Heading3"/>
      </w:pPr>
      <w:r>
        <w:t>Changes Since 2008</w:t>
      </w:r>
    </w:p>
    <w:p w14:paraId="09D93A66" w14:textId="6F140280" w:rsidR="00B049D0" w:rsidRDefault="00B049D0" w:rsidP="00B049D0">
      <w:r w:rsidRPr="00C12B8E">
        <w:rPr>
          <w:b/>
        </w:rPr>
        <w:t>Total Demand</w:t>
      </w:r>
      <w:r>
        <w:rPr>
          <w:b/>
        </w:rPr>
        <w:t>:</w:t>
      </w:r>
      <w:r>
        <w:t xml:space="preserve">  In 2015, after adjusting for inflation, the total demand was approximately 0.99% less than 2008, while total emissions were approximately 5.8% greater.  Figures 1 and 2 show the net changes in emissions and demand (spending), respectively, by category from 2008 to 2015.</w:t>
      </w:r>
    </w:p>
    <w:p w14:paraId="4D943E62" w14:textId="77777777" w:rsidR="004A338F" w:rsidRDefault="004A338F" w:rsidP="004A338F">
      <w:pPr>
        <w:pStyle w:val="Caption"/>
        <w:ind w:left="360"/>
      </w:pPr>
      <w:r>
        <w:lastRenderedPageBreak/>
        <w:t xml:space="preserve">Figure </w:t>
      </w:r>
      <w:fldSimple w:instr=" SEQ Figure \* ARABIC ">
        <w:r>
          <w:rPr>
            <w:noProof/>
          </w:rPr>
          <w:t>1</w:t>
        </w:r>
      </w:fldSimple>
      <w:r>
        <w:t xml:space="preserve">: </w:t>
      </w:r>
      <w:r w:rsidRPr="00CA6966">
        <w:t>King County Net Emissions Ch</w:t>
      </w:r>
      <w:r>
        <w:t>ange by Category, 2008 to 2015</w:t>
      </w:r>
    </w:p>
    <w:p w14:paraId="6DA208AF" w14:textId="77777777" w:rsidR="00B049D0" w:rsidRDefault="00B049D0" w:rsidP="00B049D0">
      <w:pPr>
        <w:pStyle w:val="figure"/>
        <w:ind w:left="360"/>
      </w:pPr>
      <w:r w:rsidRPr="00F55893">
        <w:rPr>
          <w:noProof/>
        </w:rPr>
        <w:drawing>
          <wp:inline distT="0" distB="0" distL="0" distR="0" wp14:anchorId="6F3047F0" wp14:editId="2A44AF36">
            <wp:extent cx="5486400" cy="3709484"/>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2756"/>
                    <a:stretch/>
                  </pic:blipFill>
                  <pic:spPr bwMode="auto">
                    <a:xfrm>
                      <a:off x="0" y="0"/>
                      <a:ext cx="5486400" cy="3709484"/>
                    </a:xfrm>
                    <a:prstGeom prst="rect">
                      <a:avLst/>
                    </a:prstGeom>
                    <a:noFill/>
                    <a:ln>
                      <a:noFill/>
                    </a:ln>
                    <a:extLst>
                      <a:ext uri="{53640926-AAD7-44D8-BBD7-CCE9431645EC}">
                        <a14:shadowObscured xmlns:a14="http://schemas.microsoft.com/office/drawing/2010/main"/>
                      </a:ext>
                    </a:extLst>
                  </pic:spPr>
                </pic:pic>
              </a:graphicData>
            </a:graphic>
          </wp:inline>
        </w:drawing>
      </w:r>
    </w:p>
    <w:p w14:paraId="4BE6B47A" w14:textId="77777777" w:rsidR="004A338F" w:rsidRDefault="004A338F" w:rsidP="004A338F">
      <w:pPr>
        <w:pStyle w:val="Caption"/>
        <w:ind w:left="360"/>
      </w:pPr>
      <w:r>
        <w:t xml:space="preserve">Figure </w:t>
      </w:r>
      <w:fldSimple w:instr=" SEQ Figure \* ARABIC ">
        <w:r>
          <w:rPr>
            <w:noProof/>
          </w:rPr>
          <w:t>2</w:t>
        </w:r>
      </w:fldSimple>
      <w:proofErr w:type="gramStart"/>
      <w:r>
        <w:t xml:space="preserve">: </w:t>
      </w:r>
      <w:r w:rsidRPr="007C10CB">
        <w:t>:</w:t>
      </w:r>
      <w:proofErr w:type="gramEnd"/>
      <w:r w:rsidRPr="007C10CB">
        <w:t xml:space="preserve"> King County Net Spending Change by Category, 2</w:t>
      </w:r>
      <w:r>
        <w:t>008 to 2015</w:t>
      </w:r>
    </w:p>
    <w:p w14:paraId="74D01A2E" w14:textId="77777777" w:rsidR="00B049D0" w:rsidRDefault="00B049D0" w:rsidP="00B049D0">
      <w:pPr>
        <w:pStyle w:val="figure"/>
        <w:ind w:left="360"/>
      </w:pPr>
      <w:r w:rsidRPr="00BE024D">
        <w:rPr>
          <w:noProof/>
        </w:rPr>
        <w:lastRenderedPageBreak/>
        <w:drawing>
          <wp:inline distT="0" distB="0" distL="0" distR="0" wp14:anchorId="2802692F" wp14:editId="7F89FD3F">
            <wp:extent cx="5486400" cy="37171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22917"/>
                    <a:stretch/>
                  </pic:blipFill>
                  <pic:spPr bwMode="auto">
                    <a:xfrm>
                      <a:off x="0" y="0"/>
                      <a:ext cx="5486400" cy="3717197"/>
                    </a:xfrm>
                    <a:prstGeom prst="rect">
                      <a:avLst/>
                    </a:prstGeom>
                    <a:noFill/>
                    <a:ln>
                      <a:noFill/>
                    </a:ln>
                    <a:extLst>
                      <a:ext uri="{53640926-AAD7-44D8-BBD7-CCE9431645EC}">
                        <a14:shadowObscured xmlns:a14="http://schemas.microsoft.com/office/drawing/2010/main"/>
                      </a:ext>
                    </a:extLst>
                  </pic:spPr>
                </pic:pic>
              </a:graphicData>
            </a:graphic>
          </wp:inline>
        </w:drawing>
      </w:r>
    </w:p>
    <w:p w14:paraId="257C24E5" w14:textId="77777777" w:rsidR="00B049D0" w:rsidRDefault="00B049D0" w:rsidP="00B049D0">
      <w:r>
        <w:t xml:space="preserve">Comparing Figures 1 and 2 helps illustrate the nuance of the CBEI model, </w:t>
      </w:r>
      <w:proofErr w:type="gramStart"/>
      <w:r>
        <w:t>and also</w:t>
      </w:r>
      <w:proofErr w:type="gramEnd"/>
      <w:r>
        <w:t xml:space="preserve"> the coarse resolution of the 16-category aggregation.  For example, the Electronics, Fuel Utilities &amp; Waste, and Appliances categories show a net decrease in spending but a net increase in emissions.  In the case of the Electronics category, the IMPLAN demand data shows decreased spending on computers and custom programming by business and decreased spending on A/V equipment by households, but an increase in spending on wireless communication equipment and computer systems design services in all sectors, as well as an increase in spending on computers by households and government.  These changes, and to some degree the updated use emissions data, result in a modest reduction in production phase emissions and a significant increase in use phase emissions for this category (see Table 6), and higher emissions overall versus 2008.  </w:t>
      </w:r>
    </w:p>
    <w:p w14:paraId="26A0300C" w14:textId="77777777" w:rsidR="00B049D0" w:rsidRDefault="00B049D0" w:rsidP="00B049D0">
      <w:r>
        <w:t xml:space="preserve">Figure 2 also illustrates an important limitation of the 2008 IMPLAN data.  The dramatic reduction in spending within the Home Yard &amp; Office category is almost entirely driven by a reduction in spending on software by businesses, where the 2008 IMPLAN data showed a business investment of over $15 billion 2008 dollars, or more than 10% of the total King County demand from all institution types!  This is an artifact of 2008 IMPLAN demand calculation methodology:  demand at the county level is distributed based on that county’s production versus the U.S. production.  Due primarily to Microsoft’s presence, King County “produced” some 22% of the total U.S. software value in 2008, and the IMPLAN methodology thus assigned 22% of the U.S. software </w:t>
      </w:r>
      <w:r w:rsidRPr="000744AF">
        <w:rPr>
          <w:i/>
        </w:rPr>
        <w:t>demand</w:t>
      </w:r>
      <w:r>
        <w:t xml:space="preserve"> (approximately $80B) to King County as well. IMPLAN’s 2015 dataset was derived with a different, presumably improved methodology.  Hence the dramatic difference </w:t>
      </w:r>
      <w:r>
        <w:lastRenderedPageBreak/>
        <w:t xml:space="preserve">in this </w:t>
      </w:r>
      <w:proofErr w:type="gramStart"/>
      <w:r>
        <w:t>particular sector</w:t>
      </w:r>
      <w:proofErr w:type="gramEnd"/>
      <w:r>
        <w:t xml:space="preserve"> should be ignored as it does not represent a true change in demand and resulting emissions.</w:t>
      </w:r>
    </w:p>
    <w:p w14:paraId="6A600171" w14:textId="77777777" w:rsidR="00B049D0" w:rsidRDefault="00B049D0" w:rsidP="00B049D0">
      <w:r w:rsidRPr="00C12B8E">
        <w:rPr>
          <w:b/>
        </w:rPr>
        <w:t>P</w:t>
      </w:r>
      <w:r>
        <w:rPr>
          <w:b/>
        </w:rPr>
        <w:t>er-</w:t>
      </w:r>
      <w:r w:rsidRPr="00C12B8E">
        <w:rPr>
          <w:b/>
        </w:rPr>
        <w:t xml:space="preserve">Capita </w:t>
      </w:r>
      <w:r>
        <w:rPr>
          <w:b/>
        </w:rPr>
        <w:t>Spending:</w:t>
      </w:r>
      <w:r>
        <w:t xml:space="preserve">  Between 2008 and 2015, King County’s population grew from approximately 1.88 million to 2.12 million, an increase of 13%.  Over that period, the IMPLAN data shows gross household demand to stay approximately equal in real dollars.  This implies an 11% decrease in per-capita spending over the period.  This is a significant decline, and can be attributed to a combination of true reductions in individual spending (consumer restraint) with reductions in commodity prices on a real dollar basis (economic efficiency).  Comparing the 2008 and 2015 household demand data from IMPLAN, many categories show significant reductions in per-capita spending; within the Appliances, Clothing, Electronics, and Fuel &amp; Utilities categories, per-capita spending drops by approximately 40%.  However, these categories represent less than 5% of the total household demand.  In the categories with the greatest household demand, </w:t>
      </w:r>
      <w:r w:rsidRPr="000744AF">
        <w:rPr>
          <w:i/>
        </w:rPr>
        <w:t>i.e.</w:t>
      </w:r>
      <w:r>
        <w:t xml:space="preserve"> Services, Healthcare, Retail, and Food &amp; Beverages, per-capita spending declines by 2.7%, 2.0%, 21%, and 13%, respectively (an 8.4% weighted-average decline among these three categories).</w:t>
      </w:r>
    </w:p>
    <w:p w14:paraId="00243807" w14:textId="1A50DFDC" w:rsidR="00B049D0" w:rsidRDefault="00B049D0" w:rsidP="00B049D0">
      <w:proofErr w:type="gramStart"/>
      <w:r w:rsidRPr="00C12B8E">
        <w:rPr>
          <w:b/>
        </w:rPr>
        <w:t>Foreign Imports</w:t>
      </w:r>
      <w:proofErr w:type="gramEnd"/>
      <w:r>
        <w:rPr>
          <w:b/>
        </w:rPr>
        <w:t>:</w:t>
      </w:r>
      <w:r>
        <w:t xml:space="preserve">  While the total imports from outside of King County decreased by about 7.8% from 2008 to 2015, a larger fraction of those imports were supplied from outside the US, resulting in an 8.0% increase in emissions from foreign production.  Figure 3 shows the changes in emissions induced by changes in demand on foreign production, for each category between 2008 and 2015.</w:t>
      </w:r>
    </w:p>
    <w:p w14:paraId="2DA2DB57" w14:textId="77777777" w:rsidR="004A338F" w:rsidRDefault="004A338F" w:rsidP="004A338F">
      <w:pPr>
        <w:pStyle w:val="Caption"/>
        <w:ind w:left="360"/>
      </w:pPr>
      <w:r>
        <w:lastRenderedPageBreak/>
        <w:t xml:space="preserve">Figure </w:t>
      </w:r>
      <w:fldSimple w:instr=" SEQ Figure \* ARABIC ">
        <w:r>
          <w:rPr>
            <w:noProof/>
          </w:rPr>
          <w:t>3</w:t>
        </w:r>
      </w:fldSimple>
      <w:r>
        <w:t xml:space="preserve">: </w:t>
      </w:r>
      <w:r w:rsidRPr="00A81B2F">
        <w:t>King County Net Emissions Change due to Foreign Produ</w:t>
      </w:r>
      <w:r>
        <w:t>ction, 2008 to 2015</w:t>
      </w:r>
    </w:p>
    <w:p w14:paraId="08860E35" w14:textId="77777777" w:rsidR="00B049D0" w:rsidRDefault="00B049D0" w:rsidP="00B049D0">
      <w:pPr>
        <w:pStyle w:val="figure"/>
        <w:ind w:left="360"/>
      </w:pPr>
      <w:r w:rsidRPr="00BE024D">
        <w:rPr>
          <w:noProof/>
        </w:rPr>
        <w:drawing>
          <wp:inline distT="0" distB="0" distL="0" distR="0" wp14:anchorId="6BC55D89" wp14:editId="0DA23028">
            <wp:extent cx="5486400" cy="37405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23397"/>
                    <a:stretch/>
                  </pic:blipFill>
                  <pic:spPr bwMode="auto">
                    <a:xfrm>
                      <a:off x="0" y="0"/>
                      <a:ext cx="5486400" cy="3740527"/>
                    </a:xfrm>
                    <a:prstGeom prst="rect">
                      <a:avLst/>
                    </a:prstGeom>
                    <a:noFill/>
                    <a:ln>
                      <a:noFill/>
                    </a:ln>
                    <a:extLst>
                      <a:ext uri="{53640926-AAD7-44D8-BBD7-CCE9431645EC}">
                        <a14:shadowObscured xmlns:a14="http://schemas.microsoft.com/office/drawing/2010/main"/>
                      </a:ext>
                    </a:extLst>
                  </pic:spPr>
                </pic:pic>
              </a:graphicData>
            </a:graphic>
          </wp:inline>
        </w:drawing>
      </w:r>
    </w:p>
    <w:p w14:paraId="1D8BF881" w14:textId="77777777" w:rsidR="00B049D0" w:rsidRDefault="00B049D0" w:rsidP="00B049D0">
      <w:r>
        <w:t>The net increase in emissions due to demand on foreign production is largely driven by business demand on the foreign vehicle sector</w:t>
      </w:r>
      <w:bookmarkStart w:id="66" w:name="_Ref491690699"/>
      <w:r>
        <w:t xml:space="preserve"> in 2015</w:t>
      </w:r>
      <w:bookmarkStart w:id="67" w:name="_Ref491787043"/>
      <w:r>
        <w:rPr>
          <w:rStyle w:val="FootnoteReference"/>
        </w:rPr>
        <w:footnoteReference w:id="12"/>
      </w:r>
      <w:bookmarkEnd w:id="66"/>
      <w:bookmarkEnd w:id="67"/>
      <w:r>
        <w:t xml:space="preserve"> and to a lesser degree the dolls toys &amp; games and scientific R&amp;D services sectors, as well as household demand on prescription medication. Though business demand overall fell 20% from 2008 to 2015, demand on foreign production increased 40% during the same period, so that total emissions from business rose 12%.</w:t>
      </w:r>
    </w:p>
    <w:p w14:paraId="1DC91C55" w14:textId="77777777" w:rsidR="00B049D0" w:rsidRDefault="00B049D0" w:rsidP="00B049D0">
      <w:r>
        <w:t xml:space="preserve">State, local, and federal government have also increased their demand on foreign production. Though the overall magnitude of emissions from government demand on foreign production is lower than that of businesses demand on foreign production, the </w:t>
      </w:r>
      <w:r w:rsidRPr="003B2BD1">
        <w:rPr>
          <w:i/>
        </w:rPr>
        <w:t>rate of increase</w:t>
      </w:r>
      <w:r>
        <w:t xml:space="preserve"> is much higher.  Emissions due to government demand on foreign production increased 94% from 2008 to 2015.  The increase is driven </w:t>
      </w:r>
      <w:r>
        <w:lastRenderedPageBreak/>
        <w:t xml:space="preserve">most strongly by spending on wireless communications equipment, gasoline and heating fuels, computer systems design services, scientific R&amp;D services, and non-comparable </w:t>
      </w:r>
      <w:proofErr w:type="gramStart"/>
      <w:r>
        <w:t>foreign imports</w:t>
      </w:r>
      <w:proofErr w:type="gramEnd"/>
      <w:r>
        <w:rPr>
          <w:rStyle w:val="FootnoteReference"/>
        </w:rPr>
        <w:footnoteReference w:id="13"/>
      </w:r>
      <w:r>
        <w:t>.</w:t>
      </w:r>
    </w:p>
    <w:p w14:paraId="4750B232" w14:textId="77777777" w:rsidR="00B049D0" w:rsidRDefault="00B049D0" w:rsidP="00B049D0">
      <w:r>
        <w:t>CBEI model documentation (Appendix D of the 2008 Consumption Based Emissions Inventory</w:t>
      </w:r>
      <w:r w:rsidRPr="00461DD2">
        <w:rPr>
          <w:vertAlign w:val="superscript"/>
        </w:rPr>
        <w:fldChar w:fldCharType="begin"/>
      </w:r>
      <w:r w:rsidRPr="00461DD2">
        <w:rPr>
          <w:vertAlign w:val="superscript"/>
        </w:rPr>
        <w:instrText xml:space="preserve"> NOTEREF _Ref487149028 \h </w:instrText>
      </w:r>
      <w:r>
        <w:rPr>
          <w:vertAlign w:val="superscript"/>
        </w:rPr>
        <w:instrText xml:space="preserve"> \* MERGEFORMAT </w:instrText>
      </w:r>
      <w:r w:rsidRPr="00461DD2">
        <w:rPr>
          <w:vertAlign w:val="superscript"/>
        </w:rPr>
      </w:r>
      <w:r w:rsidRPr="00461DD2">
        <w:rPr>
          <w:vertAlign w:val="superscript"/>
        </w:rPr>
        <w:fldChar w:fldCharType="separate"/>
      </w:r>
      <w:r>
        <w:rPr>
          <w:vertAlign w:val="superscript"/>
        </w:rPr>
        <w:t>1</w:t>
      </w:r>
      <w:r w:rsidRPr="00461DD2">
        <w:rPr>
          <w:vertAlign w:val="superscript"/>
        </w:rPr>
        <w:fldChar w:fldCharType="end"/>
      </w:r>
      <w:r>
        <w:t>) describes an “direct + indirect” emissions coefficient as the kgCO</w:t>
      </w:r>
      <w:r w:rsidRPr="002E42C3">
        <w:rPr>
          <w:vertAlign w:val="subscript"/>
        </w:rPr>
        <w:t>2</w:t>
      </w:r>
      <w:r>
        <w:t xml:space="preserve">e emitted in a given sector per dollar of demand on that sector; </w:t>
      </w:r>
      <w:proofErr w:type="gramStart"/>
      <w:r>
        <w:rPr>
          <w:i/>
        </w:rPr>
        <w:t>plus</w:t>
      </w:r>
      <w:proofErr w:type="gramEnd"/>
      <w:r>
        <w:rPr>
          <w:i/>
        </w:rPr>
        <w:t xml:space="preserve"> </w:t>
      </w:r>
      <w:r>
        <w:t>the kgCO</w:t>
      </w:r>
      <w:r>
        <w:rPr>
          <w:vertAlign w:val="subscript"/>
        </w:rPr>
        <w:t>2</w:t>
      </w:r>
      <w:r>
        <w:t>e emitted by “upstream” sectors providing indirect goods and services to the direct sector, per dollar of demand on the direct sector. The direct + indirect emissions coefficients from foreign production are about 2.1 times greater than the direct + indirect coefficients from U.S. production (though not all sectors have higher foreign coefficients).  Raw material or electricity used in production, for example, are embedded in the direct + indirect coefficients. Sectors in the CBEI model with particularly high foreign direct + indirect coefficients include energy-intensive industries such as cement, mineral, and chemical production, as well as energy generation and transport.  Differences in foreign energy generation technologies, environmental regulations, and transport technology (for example less efficient diesel freight transport between foreign sectors) likely lead to the higher foreign emissions from such industries.</w:t>
      </w:r>
    </w:p>
    <w:p w14:paraId="7DD10B07" w14:textId="039DBE4A" w:rsidR="00B049D0" w:rsidRDefault="00B049D0" w:rsidP="00B049D0">
      <w:r>
        <w:t>Figure 4 compares the Foreign versus U.S. direct + indirect emissions coefficients for the ten individual sectors with the greatest foreign demand in 2015.</w:t>
      </w:r>
    </w:p>
    <w:p w14:paraId="62FD31C0" w14:textId="77777777" w:rsidR="004A338F" w:rsidRDefault="004A338F" w:rsidP="004A338F">
      <w:pPr>
        <w:pStyle w:val="Caption"/>
      </w:pPr>
      <w:r>
        <w:lastRenderedPageBreak/>
        <w:t xml:space="preserve">Figure </w:t>
      </w:r>
      <w:fldSimple w:instr=" SEQ Figure \* ARABIC ">
        <w:r>
          <w:rPr>
            <w:noProof/>
          </w:rPr>
          <w:t>4</w:t>
        </w:r>
      </w:fldSimple>
      <w:r>
        <w:t>: Foreign Versus U.S. Direct + Indirect Emission Intensity Coefficients (kgCO</w:t>
      </w:r>
      <w:r w:rsidRPr="00555742">
        <w:rPr>
          <w:vertAlign w:val="subscript"/>
        </w:rPr>
        <w:t>2</w:t>
      </w:r>
      <w:r>
        <w:t>e/$)</w:t>
      </w:r>
    </w:p>
    <w:p w14:paraId="57A1126A" w14:textId="77777777" w:rsidR="00B049D0" w:rsidRDefault="00B049D0" w:rsidP="00B049D0">
      <w:pPr>
        <w:pStyle w:val="figure"/>
      </w:pPr>
      <w:r w:rsidRPr="00555742">
        <w:rPr>
          <w:noProof/>
        </w:rPr>
        <w:drawing>
          <wp:inline distT="0" distB="0" distL="0" distR="0" wp14:anchorId="221E2ADA" wp14:editId="7A5EA922">
            <wp:extent cx="5943600" cy="32236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223647"/>
                    </a:xfrm>
                    <a:prstGeom prst="rect">
                      <a:avLst/>
                    </a:prstGeom>
                    <a:noFill/>
                    <a:ln>
                      <a:noFill/>
                    </a:ln>
                  </pic:spPr>
                </pic:pic>
              </a:graphicData>
            </a:graphic>
          </wp:inline>
        </w:drawing>
      </w:r>
    </w:p>
    <w:p w14:paraId="5DEE991B" w14:textId="77777777" w:rsidR="00B049D0" w:rsidRDefault="00B049D0" w:rsidP="00B049D0">
      <w:r w:rsidRPr="00C12B8E">
        <w:rPr>
          <w:b/>
        </w:rPr>
        <w:t>Household Consumption:</w:t>
      </w:r>
      <w:r>
        <w:t xml:space="preserve">  Households still accounted for the majority of emissions; in </w:t>
      </w:r>
      <w:proofErr w:type="gramStart"/>
      <w:r>
        <w:t>2015</w:t>
      </w:r>
      <w:proofErr w:type="gramEnd"/>
      <w:r>
        <w:t xml:space="preserve"> approximately 71% of the total emissions were from households; in 2008 76% of the total emissions were from households. There was a negligible change in total household demand (in real $) from 2008 to 2015 of approximately -0.03%. Again, household demand represents such a large share of the emissions in part </w:t>
      </w:r>
      <w:proofErr w:type="gramStart"/>
      <w:r>
        <w:t>due to the fact that</w:t>
      </w:r>
      <w:proofErr w:type="gramEnd"/>
      <w:r>
        <w:t xml:space="preserve"> business spending on production is not attributed to businesses, but instead to the end-user of each good or service. </w:t>
      </w:r>
    </w:p>
    <w:p w14:paraId="25749061" w14:textId="77777777" w:rsidR="00B049D0" w:rsidRDefault="00B049D0" w:rsidP="00B049D0">
      <w:r w:rsidRPr="00C12B8E">
        <w:rPr>
          <w:b/>
        </w:rPr>
        <w:t>Government Consumption:</w:t>
      </w:r>
      <w:r>
        <w:t xml:space="preserve">  Government institutions (Local, State, and Federal) accounted for a relatively small share of the total emissions, though this share has increased from 5.5% in 2008 to 9.5% in 2015 (overall government emissions increased by 81%).  The increase in emissions is associated with a 48% increase in demand from government institutions, including a significant increase on foreign demand as noted above.  Notable sector categories showing increased government demand, and associated emissions, include Construction, Appliances, Food and Beverages, Electronics, and Services.  These categories generally have relatively moderate emissions coefficients; however, within the Food and Beverage category the red meat, dairy, and poultry sectors do all have relatively high emissions coefficients. Government demand on these 3 sectors combined increased nearly 400% between 2008 and 2015.  The impact of increased food and beverage consumption is significant; it is unknown whether this is simply more food consumed by government employees and their guests, or whether this signals some more substantive difference such as a change in the accounting of food subsidies.  As noted above, the per-capita </w:t>
      </w:r>
      <w:r w:rsidRPr="0098274E">
        <w:rPr>
          <w:i/>
        </w:rPr>
        <w:t>household</w:t>
      </w:r>
      <w:r>
        <w:t xml:space="preserve"> consumption within the food and beverage category did decline from 2008 to 2015, by 13%.</w:t>
      </w:r>
    </w:p>
    <w:p w14:paraId="03D39E7A" w14:textId="77777777" w:rsidR="00B049D0" w:rsidRDefault="00B049D0" w:rsidP="00B049D0">
      <w:pPr>
        <w:pStyle w:val="Heading3"/>
      </w:pPr>
      <w:r>
        <w:lastRenderedPageBreak/>
        <w:t>Limitations of the Partial Update</w:t>
      </w:r>
    </w:p>
    <w:p w14:paraId="68735B80" w14:textId="77777777" w:rsidR="00B049D0" w:rsidRDefault="00B049D0" w:rsidP="00B049D0">
      <w:r>
        <w:t>Being a partial update, this inventory has some inherent limitations which should be acknowledged.</w:t>
      </w:r>
    </w:p>
    <w:p w14:paraId="2C8A2BA5" w14:textId="77777777" w:rsidR="00B049D0" w:rsidRDefault="00B049D0" w:rsidP="00B049D0">
      <w:r>
        <w:t>As described in the Methodology section, two major components of the model are identical in the 2008 inventory and in this partial update: (1) The 440x440 input-output matrix, and (2) the emissions intensity coefficients (kgCO</w:t>
      </w:r>
      <w:r w:rsidRPr="002E42C3">
        <w:rPr>
          <w:vertAlign w:val="subscript"/>
        </w:rPr>
        <w:t>2</w:t>
      </w:r>
      <w:r>
        <w:t>e/$).  The impacts of retaining the 2008 values in these two CBEI components, both on the gross and disaggregated emissions, is unknown; however, there is certainly some impact as these components are principal to the emissions calculations.  As mentioned previously, our analysis effectively assumes that (1) in 2015 a given commodity sector relies on other industries at the same proportion as that sector did in 2008, and (2) in 2015 any given industry produces the same emissions from a given level of production as it did in 2008 (i.e., no new, lower-emission technologies have been adopted).</w:t>
      </w:r>
    </w:p>
    <w:p w14:paraId="4BB9333B" w14:textId="77777777" w:rsidR="00B049D0" w:rsidRDefault="00B049D0" w:rsidP="00B049D0">
      <w:r>
        <w:t xml:space="preserve">There is some limitation to the comparability of the 2008 and 2015 data due to differences in the methodology employed by IMPLAN in their calculation of the sector </w:t>
      </w:r>
      <w:proofErr w:type="spellStart"/>
      <w:r>
        <w:t>demands</w:t>
      </w:r>
      <w:r w:rsidRPr="00F17774">
        <w:rPr>
          <w:vertAlign w:val="superscript"/>
        </w:rPr>
        <w:fldChar w:fldCharType="begin"/>
      </w:r>
      <w:r w:rsidRPr="00F17774">
        <w:rPr>
          <w:vertAlign w:val="superscript"/>
        </w:rPr>
        <w:instrText xml:space="preserve"> NOTEREF _Ref491690697 \h </w:instrText>
      </w:r>
      <w:r>
        <w:rPr>
          <w:vertAlign w:val="superscript"/>
        </w:rPr>
        <w:instrText xml:space="preserve"> \* MERGEFORMAT </w:instrText>
      </w:r>
      <w:r w:rsidRPr="00F17774">
        <w:rPr>
          <w:vertAlign w:val="superscript"/>
        </w:rPr>
      </w:r>
      <w:r w:rsidRPr="00F17774">
        <w:rPr>
          <w:vertAlign w:val="superscript"/>
        </w:rPr>
        <w:fldChar w:fldCharType="separate"/>
      </w:r>
      <w:r>
        <w:rPr>
          <w:b/>
          <w:bCs/>
          <w:vertAlign w:val="superscript"/>
        </w:rPr>
        <w:t>Error</w:t>
      </w:r>
      <w:proofErr w:type="spellEnd"/>
      <w:r>
        <w:rPr>
          <w:b/>
          <w:bCs/>
          <w:vertAlign w:val="superscript"/>
        </w:rPr>
        <w:t>! Bookmark not defined.</w:t>
      </w:r>
      <w:r w:rsidRPr="00F17774">
        <w:rPr>
          <w:vertAlign w:val="superscript"/>
        </w:rPr>
        <w:fldChar w:fldCharType="end"/>
      </w:r>
      <w:r>
        <w:rPr>
          <w:vertAlign w:val="superscript"/>
        </w:rPr>
        <w:t>,</w:t>
      </w:r>
      <w:r w:rsidRPr="00F17774">
        <w:rPr>
          <w:vertAlign w:val="superscript"/>
        </w:rPr>
        <w:fldChar w:fldCharType="begin"/>
      </w:r>
      <w:r w:rsidRPr="00F17774">
        <w:rPr>
          <w:vertAlign w:val="superscript"/>
        </w:rPr>
        <w:instrText xml:space="preserve"> NOTEREF _Ref491690699 \h </w:instrText>
      </w:r>
      <w:r>
        <w:rPr>
          <w:vertAlign w:val="superscript"/>
        </w:rPr>
        <w:instrText xml:space="preserve"> \* MERGEFORMAT </w:instrText>
      </w:r>
      <w:r w:rsidRPr="00F17774">
        <w:rPr>
          <w:vertAlign w:val="superscript"/>
        </w:rPr>
      </w:r>
      <w:r w:rsidRPr="00F17774">
        <w:rPr>
          <w:vertAlign w:val="superscript"/>
        </w:rPr>
        <w:fldChar w:fldCharType="separate"/>
      </w:r>
      <w:r>
        <w:rPr>
          <w:vertAlign w:val="superscript"/>
        </w:rPr>
        <w:t>9</w:t>
      </w:r>
      <w:r w:rsidRPr="00F17774">
        <w:rPr>
          <w:vertAlign w:val="superscript"/>
        </w:rPr>
        <w:fldChar w:fldCharType="end"/>
      </w:r>
      <w:r>
        <w:t>.  The magnitude of this impact is unknown, but this does add a significant caveat to the discussion around changes from 2008 to 2015.  This issue is also addressed below in the Process Improvement section.</w:t>
      </w:r>
    </w:p>
    <w:p w14:paraId="1AEF338E" w14:textId="77777777" w:rsidR="00B049D0" w:rsidRDefault="00B049D0" w:rsidP="00B049D0">
      <w:r>
        <w:t xml:space="preserve">Finally, there is a small potential for CBEI Modeler operator error (our error) when attempting to incorporate the 2015 demand, use, and disposal phase data. The CBEI Modeler is highly complex and does not offer a dedicated user interface for an annual update (for example, it does not offer a </w:t>
      </w:r>
      <w:proofErr w:type="gramStart"/>
      <w:r>
        <w:t>single entry</w:t>
      </w:r>
      <w:proofErr w:type="gramEnd"/>
      <w:r>
        <w:t xml:space="preserve"> point for the new demand data by geography, or for all use and disposal phase data). We were required to identify, by inspection, multiple linked and unlinked data files and manually overwrite these with the </w:t>
      </w:r>
      <w:r w:rsidRPr="002B14F9">
        <w:t>updated</w:t>
      </w:r>
      <w:r>
        <w:t xml:space="preserve">, 2015 data. Of course, every effort was made to review our work, including applying carefully chosen sensitivity analyses, to ensure correct data processing to the greatest extent possible.  </w:t>
      </w:r>
    </w:p>
    <w:p w14:paraId="65998F3F" w14:textId="77777777" w:rsidR="00B049D0" w:rsidRDefault="00B049D0" w:rsidP="00B049D0">
      <w:r>
        <w:t xml:space="preserve">Given these limitations, it is recommended that the results of this partial update be interpreted with an appropriate understanding of uncertainties, and that a full update </w:t>
      </w:r>
      <w:proofErr w:type="gramStart"/>
      <w:r>
        <w:t>eventually  be</w:t>
      </w:r>
      <w:proofErr w:type="gramEnd"/>
      <w:r>
        <w:t xml:space="preserve"> conducted to address these limitations.</w:t>
      </w:r>
    </w:p>
    <w:p w14:paraId="4F195AB9" w14:textId="77777777" w:rsidR="00B049D0" w:rsidRPr="00210499" w:rsidRDefault="00B049D0" w:rsidP="00B049D0">
      <w:pPr>
        <w:pStyle w:val="Heading3"/>
      </w:pPr>
      <w:r>
        <w:t>Process Improvement</w:t>
      </w:r>
    </w:p>
    <w:p w14:paraId="1ABA4832" w14:textId="0DABD4B6" w:rsidR="00B049D0" w:rsidRDefault="00262E64" w:rsidP="00B049D0">
      <w:r>
        <w:t xml:space="preserve">We updated </w:t>
      </w:r>
      <w:r w:rsidR="00B049D0">
        <w:t xml:space="preserve">CBEI results with updated demand data as input, using the CBEI Modeler platform developed by SEI for the 2008 inventory.  This required first a detailed review of the data flows and built-in algorithms, followed by some manipulation of the model and its inputs </w:t>
      </w:r>
      <w:proofErr w:type="gramStart"/>
      <w:r w:rsidR="00B049D0">
        <w:t>in order to</w:t>
      </w:r>
      <w:proofErr w:type="gramEnd"/>
      <w:r w:rsidR="00B049D0">
        <w:t xml:space="preserve"> utilize the robust analytical features without updating the entire model.</w:t>
      </w:r>
    </w:p>
    <w:p w14:paraId="77706999" w14:textId="77777777" w:rsidR="00B049D0" w:rsidRDefault="00B049D0" w:rsidP="00B049D0">
      <w:r>
        <w:t>Through this process some challenges were identified that could be considered for improvement during the next “full” update of the King County CBEI. The lessons learned might also have value for consumption-based inventories in other regions, or for estimating different byproducts or impacts of consumption.  Four primary improvements stand out:</w:t>
      </w:r>
    </w:p>
    <w:p w14:paraId="2E8FFEB4" w14:textId="77777777" w:rsidR="00B049D0" w:rsidRDefault="00B049D0" w:rsidP="00B049D0">
      <w:pPr>
        <w:rPr>
          <w:b/>
        </w:rPr>
      </w:pPr>
      <w:r>
        <w:rPr>
          <w:b/>
        </w:rPr>
        <w:t>Inter-Year Comparability</w:t>
      </w:r>
      <w:r>
        <w:t xml:space="preserve">:  The 2008 and 2015 demand data sets for King County were computed by IMPLAN using different methodologies in some places, which have produced some incomparable demand </w:t>
      </w:r>
      <w:r>
        <w:lastRenderedPageBreak/>
        <w:t>data and anomalous emissions results</w:t>
      </w:r>
      <w:r w:rsidRPr="005A4EA7">
        <w:rPr>
          <w:vertAlign w:val="superscript"/>
        </w:rPr>
        <w:fldChar w:fldCharType="begin"/>
      </w:r>
      <w:r w:rsidRPr="005A4EA7">
        <w:rPr>
          <w:vertAlign w:val="superscript"/>
        </w:rPr>
        <w:instrText xml:space="preserve"> NOTEREF _Ref490488390 \h </w:instrText>
      </w:r>
      <w:r>
        <w:rPr>
          <w:vertAlign w:val="superscript"/>
        </w:rPr>
        <w:instrText xml:space="preserve"> \* MERGEFORMAT </w:instrText>
      </w:r>
      <w:r w:rsidRPr="005A4EA7">
        <w:rPr>
          <w:vertAlign w:val="superscript"/>
        </w:rPr>
      </w:r>
      <w:r w:rsidRPr="005A4EA7">
        <w:rPr>
          <w:vertAlign w:val="superscript"/>
        </w:rPr>
        <w:fldChar w:fldCharType="separate"/>
      </w:r>
      <w:r>
        <w:rPr>
          <w:vertAlign w:val="superscript"/>
        </w:rPr>
        <w:t>8</w:t>
      </w:r>
      <w:r w:rsidRPr="005A4EA7">
        <w:rPr>
          <w:vertAlign w:val="superscript"/>
        </w:rPr>
        <w:fldChar w:fldCharType="end"/>
      </w:r>
      <w:r>
        <w:rPr>
          <w:vertAlign w:val="superscript"/>
        </w:rPr>
        <w:t>,</w:t>
      </w:r>
      <w:r w:rsidRPr="005A4EA7">
        <w:rPr>
          <w:vertAlign w:val="superscript"/>
        </w:rPr>
        <w:fldChar w:fldCharType="begin"/>
      </w:r>
      <w:r w:rsidRPr="005A4EA7">
        <w:rPr>
          <w:vertAlign w:val="superscript"/>
        </w:rPr>
        <w:instrText xml:space="preserve"> NOTEREF _Ref491787043 \h </w:instrText>
      </w:r>
      <w:r>
        <w:rPr>
          <w:vertAlign w:val="superscript"/>
        </w:rPr>
        <w:instrText xml:space="preserve"> \* MERGEFORMAT </w:instrText>
      </w:r>
      <w:r w:rsidRPr="005A4EA7">
        <w:rPr>
          <w:vertAlign w:val="superscript"/>
        </w:rPr>
      </w:r>
      <w:r w:rsidRPr="005A4EA7">
        <w:rPr>
          <w:vertAlign w:val="superscript"/>
        </w:rPr>
        <w:fldChar w:fldCharType="separate"/>
      </w:r>
      <w:r>
        <w:rPr>
          <w:vertAlign w:val="superscript"/>
        </w:rPr>
        <w:t>9</w:t>
      </w:r>
      <w:r w:rsidRPr="005A4EA7">
        <w:rPr>
          <w:vertAlign w:val="superscript"/>
        </w:rPr>
        <w:fldChar w:fldCharType="end"/>
      </w:r>
      <w:r>
        <w:t xml:space="preserve">.  The 2008 IMPLAN demand data for King County distributes </w:t>
      </w:r>
      <w:r w:rsidRPr="005A4EA7">
        <w:rPr>
          <w:i/>
        </w:rPr>
        <w:t>demand</w:t>
      </w:r>
      <w:r>
        <w:t xml:space="preserve"> based on the proportion of U.S. </w:t>
      </w:r>
      <w:r w:rsidRPr="005A4EA7">
        <w:rPr>
          <w:i/>
        </w:rPr>
        <w:t>production</w:t>
      </w:r>
      <w:r>
        <w:t xml:space="preserve"> that comes from the County, which is not necessarily representative of the real demand, and could thus produce inaccurate emission results.  To provide better comparability between 2008 and 2015, and to more accurately represent the King County demand in 2008, the IMPLAN “time series” data product could potentially be utilized, which applies an updated and consistent methodology for all years.  This would require the re-modeling of 2008 data, and would yield different results than were produced in the previous 2008 CBEI model.  There is a risk of other challenges arising when incorporating the different data product in the CBEI Modeler.</w:t>
      </w:r>
    </w:p>
    <w:p w14:paraId="652B1D6C" w14:textId="77777777" w:rsidR="00B049D0" w:rsidRDefault="00B049D0" w:rsidP="00B049D0">
      <w:r w:rsidRPr="0021146B">
        <w:rPr>
          <w:b/>
        </w:rPr>
        <w:t>Model Simplification</w:t>
      </w:r>
      <w:r>
        <w:t xml:space="preserve">:  The CBEI Modeler invokes complex data flows between Microsoft Access databases and Microsoft Excel worksheets, including many macros and linked references that make it quite difficult to troubleshoot or confirm the data flow through the model.  Simplifying the model to run on a single platform – whether Excel, SQL, </w:t>
      </w:r>
      <w:proofErr w:type="spellStart"/>
      <w:r>
        <w:t>Matlab</w:t>
      </w:r>
      <w:proofErr w:type="spellEnd"/>
      <w:r>
        <w:t xml:space="preserve">, or other programming language or software platform, could allow for better visibility and comprehension of the </w:t>
      </w:r>
      <w:proofErr w:type="gramStart"/>
      <w:r>
        <w:t>model as a whole</w:t>
      </w:r>
      <w:proofErr w:type="gramEnd"/>
      <w:r>
        <w:t>.  Where possible, stages and processes could be combined and presented sequentially through the user interface.</w:t>
      </w:r>
    </w:p>
    <w:p w14:paraId="4214B6DD" w14:textId="77777777" w:rsidR="00B049D0" w:rsidRDefault="00B049D0" w:rsidP="00B049D0">
      <w:r w:rsidRPr="0021146B">
        <w:rPr>
          <w:b/>
        </w:rPr>
        <w:t>Model Accessibility</w:t>
      </w:r>
      <w:r>
        <w:rPr>
          <w:b/>
        </w:rPr>
        <w:t xml:space="preserve"> and Documentation</w:t>
      </w:r>
      <w:r>
        <w:t>:  The CBEI Modeler is challenging to comprehend in detail by a third party.  The accompanying documentation does provide useful explanation of the algorithms within the model, but there are many elements within the Modeler – macros, linked data values, static data values, scalars and adjustments, etc. – that are only understood through a deeper dive, and even that level of detail may not provide full comprehension.  In addition to the simplification concept above, revision or replacement of the CBEI Modeler should also focus on accessibility and visibility, notation, and clear documentation of all data sources and processing stages.</w:t>
      </w:r>
    </w:p>
    <w:p w14:paraId="2FB81514" w14:textId="77777777" w:rsidR="00B049D0" w:rsidRDefault="00B049D0" w:rsidP="00B049D0">
      <w:r w:rsidRPr="0021146B">
        <w:rPr>
          <w:b/>
        </w:rPr>
        <w:t>Model Adaptability</w:t>
      </w:r>
      <w:r>
        <w:t xml:space="preserve">:  The complexity of the existing CBEI Modeler makes operation beyond the built-in 2008 King County data set </w:t>
      </w:r>
      <w:proofErr w:type="gramStart"/>
      <w:r>
        <w:t>fairly challenging</w:t>
      </w:r>
      <w:proofErr w:type="gramEnd"/>
      <w:r>
        <w:t>.  There are features to customize demand, however this is meant for single-sector manual entry.  To update the results for the 2015 demand data required substantial manipulation of the model and thus greater risk of error in the results.  A revision of the CBEI process should incorporate flexibility and foresight in its construction and interface, such that users could more easily adapt the model for another inventory:  whether it be different demand data, different data/model year, different regions, or even different economic byproducts or environmental impacts.</w:t>
      </w:r>
    </w:p>
    <w:p w14:paraId="440D5D1C" w14:textId="77777777" w:rsidR="00B049D0" w:rsidRDefault="00B049D0" w:rsidP="00B049D0">
      <w:pPr>
        <w:pStyle w:val="Heading2"/>
      </w:pPr>
      <w:bookmarkStart w:id="68" w:name="_Toc493104911"/>
      <w:r>
        <w:t>Conclusion</w:t>
      </w:r>
      <w:bookmarkEnd w:id="68"/>
    </w:p>
    <w:p w14:paraId="4FB9C187" w14:textId="77777777" w:rsidR="00B049D0" w:rsidRDefault="00B049D0" w:rsidP="00B049D0">
      <w:r>
        <w:t xml:space="preserve">This Inventory estimates the GHG emissions associated with the use and consumption of commodities by households, government, and business in King County.  The results reflect the characteristics of the local economy: consumption and its associated emissions is dominated by households, and </w:t>
      </w:r>
      <w:proofErr w:type="gramStart"/>
      <w:r>
        <w:t>the majority of</w:t>
      </w:r>
      <w:proofErr w:type="gramEnd"/>
      <w:r>
        <w:t xml:space="preserve"> the goods consumed are produced outside King County.     </w:t>
      </w:r>
    </w:p>
    <w:p w14:paraId="24424763" w14:textId="77777777" w:rsidR="00B049D0" w:rsidRDefault="00B049D0" w:rsidP="00B049D0">
      <w:r>
        <w:t xml:space="preserve">The detail provided in the CBEI Modeler results allows one to interpret the GHG emissions results </w:t>
      </w:r>
      <w:proofErr w:type="gramStart"/>
      <w:r>
        <w:t>a number of</w:t>
      </w:r>
      <w:proofErr w:type="gramEnd"/>
      <w:r>
        <w:t xml:space="preserve"> ways, and identify sectors, institutions, and lifecycle phases with higher or lower associated GHG emissions.  Comparing these results with 2008 in terms of constant dollars we can infer a few notable trends: a negligible change in total demand despite a 13% increase in population; a relative </w:t>
      </w:r>
      <w:r>
        <w:lastRenderedPageBreak/>
        <w:t xml:space="preserve">decrease in household demand when compared to business and government; and an increase in </w:t>
      </w:r>
      <w:proofErr w:type="gramStart"/>
      <w:r>
        <w:t>foreign imports</w:t>
      </w:r>
      <w:proofErr w:type="gramEnd"/>
      <w:r>
        <w:t>.  The relative differences in demand by sector and geography do result in an overall increase in CBEI total emissions in 2015 versus 2008, of approximately 5.8%.</w:t>
      </w:r>
    </w:p>
    <w:p w14:paraId="1DB977A9" w14:textId="77777777" w:rsidR="00B049D0" w:rsidRDefault="00B049D0" w:rsidP="00B049D0">
      <w:r>
        <w:t>There are some limitations to the precision and applicability of the modeling results due to both the adaptation of the CBEI Modeler to the 2015 data, and due to the elements of the CBEI Modeler that were unchanged from 2008 (i.e. the emissions intensity coefficients and the 440x440 commodity multiplier matrix).  Despite those limitations, these results still provide a meaningful estimate of GHG emissions due to consumption and use from the King County community, and can reasonably be used to inform GHG-related strategies for the County.</w:t>
      </w:r>
    </w:p>
    <w:p w14:paraId="728AEAE2" w14:textId="60ACA5E8" w:rsidR="00F3669A" w:rsidRDefault="004A338F" w:rsidP="00DF1D28">
      <w:pPr>
        <w:pStyle w:val="Heading1"/>
      </w:pPr>
      <w:r>
        <w:lastRenderedPageBreak/>
        <w:tab/>
      </w:r>
      <w:bookmarkStart w:id="69" w:name="_Toc493104912"/>
      <w:commentRangeStart w:id="70"/>
      <w:r w:rsidR="00F3669A">
        <w:t>Contribution Analysis</w:t>
      </w:r>
      <w:commentRangeEnd w:id="70"/>
      <w:r w:rsidR="006303C7">
        <w:rPr>
          <w:rStyle w:val="CommentReference"/>
          <w:rFonts w:asciiTheme="minorHAnsi" w:eastAsiaTheme="minorHAnsi" w:hAnsiTheme="minorHAnsi" w:cstheme="minorBidi"/>
          <w:b w:val="0"/>
          <w:color w:val="auto"/>
          <w:spacing w:val="0"/>
        </w:rPr>
        <w:commentReference w:id="70"/>
      </w:r>
      <w:bookmarkEnd w:id="69"/>
    </w:p>
    <w:p w14:paraId="43008379" w14:textId="03A4923D" w:rsidR="00507B95" w:rsidRDefault="003D5095" w:rsidP="00DF1D28">
      <w:pPr>
        <w:pStyle w:val="Heading1"/>
      </w:pPr>
      <w:bookmarkStart w:id="71" w:name="_Toc493104913"/>
      <w:commentRangeStart w:id="72"/>
      <w:r>
        <w:lastRenderedPageBreak/>
        <w:t xml:space="preserve">Conclusion and </w:t>
      </w:r>
      <w:r w:rsidR="00B922F9">
        <w:t xml:space="preserve">Future </w:t>
      </w:r>
      <w:commentRangeStart w:id="73"/>
      <w:r w:rsidR="00760064">
        <w:t>Considerations</w:t>
      </w:r>
      <w:commentRangeEnd w:id="72"/>
      <w:r w:rsidR="007F32E9">
        <w:rPr>
          <w:rStyle w:val="CommentReference"/>
          <w:rFonts w:asciiTheme="minorHAnsi" w:eastAsiaTheme="minorHAnsi" w:hAnsiTheme="minorHAnsi" w:cstheme="minorBidi"/>
          <w:b w:val="0"/>
          <w:color w:val="auto"/>
          <w:spacing w:val="0"/>
        </w:rPr>
        <w:commentReference w:id="72"/>
      </w:r>
      <w:commentRangeEnd w:id="73"/>
      <w:r w:rsidR="0048237F">
        <w:rPr>
          <w:rStyle w:val="CommentReference"/>
          <w:rFonts w:asciiTheme="minorHAnsi" w:eastAsiaTheme="minorHAnsi" w:hAnsiTheme="minorHAnsi" w:cstheme="minorBidi"/>
          <w:b w:val="0"/>
          <w:color w:val="auto"/>
          <w:spacing w:val="0"/>
        </w:rPr>
        <w:commentReference w:id="73"/>
      </w:r>
      <w:bookmarkEnd w:id="71"/>
    </w:p>
    <w:p w14:paraId="3C16CB74" w14:textId="3B1367EA" w:rsidR="00B21C41" w:rsidRDefault="00625045" w:rsidP="00507B95">
      <w:r>
        <w:t>The updated geographic-plus and consumpt</w:t>
      </w:r>
      <w:r w:rsidR="0090295D">
        <w:t>ion-based inventories provide a snapshot of 2015 GHG emissions in King County.</w:t>
      </w:r>
    </w:p>
    <w:p w14:paraId="618D5B3F" w14:textId="6E06A3D4" w:rsidR="005C1815" w:rsidRDefault="00FB446F" w:rsidP="00507B95">
      <w:r>
        <w:t xml:space="preserve">Greenhouse gas emissions within King County have </w:t>
      </w:r>
      <w:r w:rsidR="00C17A92">
        <w:t>increased 2</w:t>
      </w:r>
      <w:r w:rsidR="00C8557A">
        <w:t xml:space="preserve">% </w:t>
      </w:r>
      <w:r w:rsidR="005C1815">
        <w:t xml:space="preserve">from </w:t>
      </w:r>
      <w:r w:rsidR="008F638D">
        <w:t>19.7</w:t>
      </w:r>
      <w:r w:rsidR="005C1815">
        <w:t xml:space="preserve"> million </w:t>
      </w:r>
      <w:r w:rsidR="00D52D6C" w:rsidRPr="00D52D6C">
        <w:t>MgCO</w:t>
      </w:r>
      <w:r w:rsidR="00D52D6C" w:rsidRPr="00D52D6C">
        <w:rPr>
          <w:vertAlign w:val="subscript"/>
        </w:rPr>
        <w:t>2</w:t>
      </w:r>
      <w:r w:rsidR="00D52D6C" w:rsidRPr="00D52D6C">
        <w:t>e</w:t>
      </w:r>
      <w:r w:rsidR="00D52D6C">
        <w:t xml:space="preserve"> </w:t>
      </w:r>
      <w:r w:rsidR="00F034CF">
        <w:t>in 2</w:t>
      </w:r>
      <w:r w:rsidR="00C17A92">
        <w:t xml:space="preserve">008 to </w:t>
      </w:r>
      <w:r w:rsidR="008F638D">
        <w:t>20.3</w:t>
      </w:r>
      <w:r w:rsidR="005C1815" w:rsidRPr="00C73B75">
        <w:t xml:space="preserve"> million </w:t>
      </w:r>
      <w:r w:rsidR="00D52D6C" w:rsidRPr="00C73B75">
        <w:t>MgCO</w:t>
      </w:r>
      <w:r w:rsidR="00D52D6C" w:rsidRPr="00C73B75">
        <w:rPr>
          <w:vertAlign w:val="subscript"/>
        </w:rPr>
        <w:t>2</w:t>
      </w:r>
      <w:r w:rsidR="00D52D6C" w:rsidRPr="00C73B75">
        <w:t>e</w:t>
      </w:r>
      <w:r w:rsidR="00C8557A" w:rsidRPr="00C73B75">
        <w:t xml:space="preserve"> in 2015</w:t>
      </w:r>
      <w:r w:rsidRPr="00C73B75">
        <w:t>.</w:t>
      </w:r>
      <w:r w:rsidR="003722AE" w:rsidRPr="00C73B75">
        <w:t xml:space="preserve"> </w:t>
      </w:r>
      <w:r w:rsidR="00C8557A" w:rsidRPr="00C73B75">
        <w:t xml:space="preserve">However, over the same </w:t>
      </w:r>
      <w:r w:rsidR="00C73B75" w:rsidRPr="00C73B75">
        <w:t>p</w:t>
      </w:r>
      <w:r w:rsidR="00C8557A" w:rsidRPr="00C73B75">
        <w:t xml:space="preserve">eriod, </w:t>
      </w:r>
      <w:r w:rsidR="00F229B7" w:rsidRPr="00C73B75">
        <w:t>the per-capi</w:t>
      </w:r>
      <w:r w:rsidR="00C8557A" w:rsidRPr="00C73B75">
        <w:t xml:space="preserve">ta emissions have declined </w:t>
      </w:r>
      <w:r w:rsidR="00C17A92">
        <w:t>6</w:t>
      </w:r>
      <w:r w:rsidR="00F229B7" w:rsidRPr="00C73B75">
        <w:t>%</w:t>
      </w:r>
      <w:r w:rsidRPr="00C73B75">
        <w:t>.</w:t>
      </w:r>
      <w:r w:rsidR="003722AE" w:rsidRPr="00C73B75">
        <w:t xml:space="preserve"> </w:t>
      </w:r>
      <w:r w:rsidRPr="00C73B75">
        <w:t xml:space="preserve">New </w:t>
      </w:r>
      <w:r w:rsidR="00843991">
        <w:t>residents in</w:t>
      </w:r>
      <w:r w:rsidRPr="00C73B75">
        <w:t xml:space="preserve"> King County benefit fro</w:t>
      </w:r>
      <w:r w:rsidR="00C8557A" w:rsidRPr="00C73B75">
        <w:t>m electricity produced with fewer</w:t>
      </w:r>
      <w:r w:rsidRPr="00C73B75">
        <w:t xml:space="preserve"> GHG emissions</w:t>
      </w:r>
      <w:r w:rsidR="00C8557A" w:rsidRPr="00C73B75">
        <w:t xml:space="preserve"> and lower passenger vehicle dependencies</w:t>
      </w:r>
      <w:r w:rsidRPr="00C73B75">
        <w:t xml:space="preserve"> than the national average.</w:t>
      </w:r>
      <w:r w:rsidR="003722AE" w:rsidRPr="00C73B75">
        <w:t xml:space="preserve"> </w:t>
      </w:r>
      <w:r w:rsidRPr="00C73B75">
        <w:t>Thus,</w:t>
      </w:r>
      <w:r w:rsidR="00FC247E" w:rsidRPr="00C73B75">
        <w:t xml:space="preserve"> the </w:t>
      </w:r>
      <w:r w:rsidR="00C8557A" w:rsidRPr="00C73B75">
        <w:t>trend</w:t>
      </w:r>
      <w:r w:rsidR="00FC247E" w:rsidRPr="00C73B75">
        <w:t xml:space="preserve"> in GHG emissions</w:t>
      </w:r>
      <w:r w:rsidR="00FC247E">
        <w:t xml:space="preserve"> underestimates the savings in emissions due to </w:t>
      </w:r>
      <w:r w:rsidR="008F638D">
        <w:t>the influx of new residents</w:t>
      </w:r>
      <w:r w:rsidR="00FC247E">
        <w:t>.</w:t>
      </w:r>
      <w:r w:rsidR="005C1815">
        <w:t xml:space="preserve"> </w:t>
      </w:r>
    </w:p>
    <w:p w14:paraId="514CB75A" w14:textId="52810727" w:rsidR="005C1815" w:rsidRDefault="005C1815" w:rsidP="00507B95">
      <w:r>
        <w:t xml:space="preserve">The King County Climate Action Plan calls for a 25% reduction in greenhouse gas emissions by 2020 compared with 2007 levels. </w:t>
      </w:r>
      <w:r w:rsidR="00B922F9">
        <w:t>More</w:t>
      </w:r>
      <w:r>
        <w:t xml:space="preserve"> work will be needed for King County to meet the goals outlined in the Climate Action Plan, especially for the 2020 milestone. Ambitious large-scale projects, such as Sound Transit’s </w:t>
      </w:r>
      <w:r w:rsidR="00B922F9">
        <w:t>ST3 expansion</w:t>
      </w:r>
      <w:r>
        <w:t>, will likely reduce per-capita GHG emis</w:t>
      </w:r>
      <w:r w:rsidR="008F638D">
        <w:t xml:space="preserve">sions </w:t>
      </w:r>
      <w:r>
        <w:t xml:space="preserve">and improve quality-of life, but may lead to overall greater emissions by allowing for a higher population density in King County. </w:t>
      </w:r>
    </w:p>
    <w:p w14:paraId="12657BE4" w14:textId="199C322F" w:rsidR="00FB446F" w:rsidRDefault="00FB446F" w:rsidP="00507B95">
      <w:r>
        <w:t xml:space="preserve">Per-capita </w:t>
      </w:r>
      <w:r w:rsidR="00871D6D">
        <w:t>energy use</w:t>
      </w:r>
      <w:r>
        <w:t xml:space="preserve"> is likely to continue declining as the use of more fuel-efficient vehicles and electric vehicles increases.</w:t>
      </w:r>
      <w:r w:rsidR="003722AE">
        <w:t xml:space="preserve"> </w:t>
      </w:r>
      <w:r w:rsidR="00871D6D">
        <w:t>Other advances are being made in building design and heating/cooling systems.</w:t>
      </w:r>
      <w:r w:rsidR="003722AE">
        <w:t xml:space="preserve"> </w:t>
      </w:r>
      <w:r>
        <w:t>Power is generated and sourced primarily from hydropower by the two providers: SCL and PSE.</w:t>
      </w:r>
      <w:r w:rsidR="003722AE">
        <w:t xml:space="preserve"> </w:t>
      </w:r>
      <w:r w:rsidR="00871D6D">
        <w:t>Hydropower is unlikely to increase</w:t>
      </w:r>
      <w:r w:rsidR="007D3267">
        <w:t xml:space="preserve"> </w:t>
      </w:r>
      <w:r w:rsidR="008F638D">
        <w:t>as</w:t>
      </w:r>
      <w:r w:rsidR="00B922F9">
        <w:t xml:space="preserve"> climate change </w:t>
      </w:r>
      <w:r w:rsidR="008F638D">
        <w:t xml:space="preserve">threatens </w:t>
      </w:r>
      <w:r w:rsidR="00B922F9">
        <w:t>water availability</w:t>
      </w:r>
      <w:r w:rsidR="007D3267">
        <w:t>.</w:t>
      </w:r>
      <w:r w:rsidR="003722AE">
        <w:t xml:space="preserve"> </w:t>
      </w:r>
      <w:r w:rsidR="007D3267">
        <w:t xml:space="preserve">Continued population growth in King County will require more </w:t>
      </w:r>
      <w:r w:rsidR="00B922F9">
        <w:t>energy,</w:t>
      </w:r>
      <w:r w:rsidR="007D3267">
        <w:t xml:space="preserve"> </w:t>
      </w:r>
      <w:r w:rsidR="005C1815">
        <w:t xml:space="preserve">even as per-capita use declines, and provide </w:t>
      </w:r>
      <w:r w:rsidR="00FC247E">
        <w:t xml:space="preserve">an ongoing </w:t>
      </w:r>
      <w:r w:rsidR="008F638D">
        <w:t>challenge as the County works toward</w:t>
      </w:r>
      <w:r w:rsidR="00B922F9">
        <w:t xml:space="preserve"> its emission reduction goals.</w:t>
      </w:r>
      <w:r w:rsidR="005C1815">
        <w:t xml:space="preserve"> </w:t>
      </w:r>
    </w:p>
    <w:p w14:paraId="44DCFDC5" w14:textId="77777777" w:rsidR="005C1815" w:rsidRPr="00507B95" w:rsidRDefault="005C1815" w:rsidP="00507B95"/>
    <w:bookmarkStart w:id="74" w:name="_Toc493104914" w:displacedByCustomXml="next"/>
    <w:sdt>
      <w:sdtPr>
        <w:rPr>
          <w:rFonts w:asciiTheme="minorHAnsi" w:eastAsiaTheme="minorHAnsi" w:hAnsiTheme="minorHAnsi" w:cstheme="minorBidi"/>
          <w:b w:val="0"/>
          <w:color w:val="auto"/>
          <w:spacing w:val="0"/>
          <w:sz w:val="22"/>
          <w:szCs w:val="22"/>
        </w:rPr>
        <w:id w:val="1423380512"/>
        <w:docPartObj>
          <w:docPartGallery w:val="Bibliographies"/>
          <w:docPartUnique/>
        </w:docPartObj>
      </w:sdtPr>
      <w:sdtEndPr>
        <w:rPr>
          <w:sz w:val="20"/>
        </w:rPr>
      </w:sdtEndPr>
      <w:sdtContent>
        <w:p w14:paraId="2518E56B" w14:textId="21613CF2" w:rsidR="00C47774" w:rsidRDefault="00C47774">
          <w:pPr>
            <w:pStyle w:val="Heading1"/>
          </w:pPr>
          <w:r>
            <w:t>References</w:t>
          </w:r>
          <w:bookmarkEnd w:id="74"/>
        </w:p>
        <w:sdt>
          <w:sdtPr>
            <w:id w:val="-573587230"/>
            <w:bibliography/>
          </w:sdtPr>
          <w:sdtContent>
            <w:p w14:paraId="622BCCFA" w14:textId="77777777" w:rsidR="00760064" w:rsidRDefault="00C47774" w:rsidP="00760064">
              <w:pPr>
                <w:pStyle w:val="Bibliography"/>
                <w:ind w:left="720" w:hanging="720"/>
                <w:rPr>
                  <w:noProof/>
                  <w:sz w:val="24"/>
                  <w:szCs w:val="24"/>
                </w:rPr>
              </w:pPr>
              <w:r>
                <w:fldChar w:fldCharType="begin"/>
              </w:r>
              <w:r>
                <w:instrText xml:space="preserve"> BIBLIOGRAPHY </w:instrText>
              </w:r>
              <w:r>
                <w:fldChar w:fldCharType="separate"/>
              </w:r>
              <w:r w:rsidR="00760064">
                <w:rPr>
                  <w:noProof/>
                </w:rPr>
                <w:t xml:space="preserve">Coven, J. F., Morgenstern, T., Mallory, S., Erickson, P., Down, A., &amp; Broekhoff, D. (2014). </w:t>
              </w:r>
              <w:r w:rsidR="00760064">
                <w:rPr>
                  <w:i/>
                  <w:iCs/>
                  <w:noProof/>
                </w:rPr>
                <w:t>Seattle Community Greenhouse Gas Emissions Inventory.</w:t>
              </w:r>
              <w:r w:rsidR="00760064">
                <w:rPr>
                  <w:noProof/>
                </w:rPr>
                <w:t xml:space="preserve"> </w:t>
              </w:r>
            </w:p>
            <w:p w14:paraId="45638FBA" w14:textId="77777777" w:rsidR="00760064" w:rsidRDefault="00760064" w:rsidP="00760064">
              <w:pPr>
                <w:pStyle w:val="Bibliography"/>
                <w:ind w:left="720" w:hanging="720"/>
                <w:rPr>
                  <w:noProof/>
                </w:rPr>
              </w:pPr>
              <w:r>
                <w:rPr>
                  <w:noProof/>
                </w:rPr>
                <w:t xml:space="preserve">King County. (2017, May). </w:t>
              </w:r>
              <w:r>
                <w:rPr>
                  <w:i/>
                  <w:iCs/>
                  <w:noProof/>
                </w:rPr>
                <w:t>Assessments Data Download</w:t>
              </w:r>
              <w:r>
                <w:rPr>
                  <w:noProof/>
                </w:rPr>
                <w:t>. Retrieved from King County Department of Assessments: http://info.kingcounty.gov/assessor/DataDownload/default.aspx</w:t>
              </w:r>
            </w:p>
            <w:p w14:paraId="178DA48B" w14:textId="77777777" w:rsidR="00760064" w:rsidRDefault="00760064" w:rsidP="00760064">
              <w:pPr>
                <w:pStyle w:val="Bibliography"/>
                <w:ind w:left="720" w:hanging="720"/>
                <w:rPr>
                  <w:noProof/>
                </w:rPr>
              </w:pPr>
              <w:r>
                <w:rPr>
                  <w:noProof/>
                </w:rPr>
                <w:t xml:space="preserve">King County. (2017, May). </w:t>
              </w:r>
              <w:r>
                <w:rPr>
                  <w:i/>
                  <w:iCs/>
                  <w:noProof/>
                </w:rPr>
                <w:t>Documents- Waste monitoring and surveys</w:t>
              </w:r>
              <w:r>
                <w:rPr>
                  <w:noProof/>
                </w:rPr>
                <w:t>. Retrieved from Solid Waste Division: https://your.kingcounty.gov/solidwaste/about/waste_documents.asp</w:t>
              </w:r>
            </w:p>
            <w:p w14:paraId="2FEE3766" w14:textId="77777777" w:rsidR="00760064" w:rsidRDefault="00760064" w:rsidP="00760064">
              <w:pPr>
                <w:pStyle w:val="Bibliography"/>
                <w:ind w:left="720" w:hanging="720"/>
                <w:rPr>
                  <w:noProof/>
                </w:rPr>
              </w:pPr>
              <w:r>
                <w:rPr>
                  <w:noProof/>
                </w:rPr>
                <w:t xml:space="preserve">King County. (2017, May). </w:t>
              </w:r>
              <w:r>
                <w:rPr>
                  <w:i/>
                  <w:iCs/>
                  <w:noProof/>
                </w:rPr>
                <w:t>Wastewater Program</w:t>
              </w:r>
              <w:r>
                <w:rPr>
                  <w:noProof/>
                </w:rPr>
                <w:t>. Retrieved from Publuic Health- Seattle and King County: http://www.kingcounty.gov/depts/health/environmental-health/piping/onsite-sewage-systems.aspx</w:t>
              </w:r>
            </w:p>
            <w:p w14:paraId="60D001CB" w14:textId="77777777" w:rsidR="00760064" w:rsidRDefault="00760064" w:rsidP="00760064">
              <w:pPr>
                <w:pStyle w:val="Bibliography"/>
                <w:ind w:left="720" w:hanging="720"/>
                <w:rPr>
                  <w:noProof/>
                </w:rPr>
              </w:pPr>
              <w:r>
                <w:rPr>
                  <w:noProof/>
                </w:rPr>
                <w:t xml:space="preserve">Local Governments for Sustainability USA. (2013). </w:t>
              </w:r>
              <w:r>
                <w:rPr>
                  <w:i/>
                  <w:iCs/>
                  <w:noProof/>
                </w:rPr>
                <w:t>U.S. Community Protocol for Accounting and Reporting of Greenhouse Gas Emissions.</w:t>
              </w:r>
              <w:r>
                <w:rPr>
                  <w:noProof/>
                </w:rPr>
                <w:t xml:space="preserve"> </w:t>
              </w:r>
            </w:p>
            <w:p w14:paraId="26E1BC5D" w14:textId="77777777" w:rsidR="00760064" w:rsidRDefault="00760064" w:rsidP="00760064">
              <w:pPr>
                <w:pStyle w:val="Bibliography"/>
                <w:ind w:left="720" w:hanging="720"/>
                <w:rPr>
                  <w:noProof/>
                </w:rPr>
              </w:pPr>
              <w:r>
                <w:rPr>
                  <w:noProof/>
                </w:rPr>
                <w:t xml:space="preserve">Puget Sound Clean Air Agency. (2012). </w:t>
              </w:r>
              <w:r>
                <w:rPr>
                  <w:i/>
                  <w:iCs/>
                  <w:noProof/>
                </w:rPr>
                <w:t>Puget Soound Maritime Air Emissions Inventory.</w:t>
              </w:r>
              <w:r>
                <w:rPr>
                  <w:noProof/>
                </w:rPr>
                <w:t xml:space="preserve"> </w:t>
              </w:r>
            </w:p>
            <w:p w14:paraId="3D03F9AD" w14:textId="77777777" w:rsidR="00760064" w:rsidRDefault="00760064" w:rsidP="00760064">
              <w:pPr>
                <w:pStyle w:val="Bibliography"/>
                <w:ind w:left="720" w:hanging="720"/>
                <w:rPr>
                  <w:noProof/>
                </w:rPr>
              </w:pPr>
              <w:r>
                <w:rPr>
                  <w:noProof/>
                </w:rPr>
                <w:t xml:space="preserve">Seattle Public Utilities. (2012). </w:t>
              </w:r>
              <w:r>
                <w:rPr>
                  <w:i/>
                  <w:iCs/>
                  <w:noProof/>
                </w:rPr>
                <w:t>2013 Water System Plan.</w:t>
              </w:r>
              <w:r>
                <w:rPr>
                  <w:noProof/>
                </w:rPr>
                <w:t xml:space="preserve"> </w:t>
              </w:r>
            </w:p>
            <w:p w14:paraId="5C8E3D09" w14:textId="77777777" w:rsidR="00760064" w:rsidRDefault="00760064" w:rsidP="00760064">
              <w:pPr>
                <w:pStyle w:val="Bibliography"/>
                <w:ind w:left="720" w:hanging="720"/>
                <w:rPr>
                  <w:noProof/>
                </w:rPr>
              </w:pPr>
              <w:r>
                <w:rPr>
                  <w:noProof/>
                </w:rPr>
                <w:t xml:space="preserve">The Climate Registry. (2015, May). </w:t>
              </w:r>
              <w:r>
                <w:rPr>
                  <w:i/>
                  <w:iCs/>
                  <w:noProof/>
                </w:rPr>
                <w:t>CRIS Public Reports</w:t>
              </w:r>
              <w:r>
                <w:rPr>
                  <w:noProof/>
                </w:rPr>
                <w:t>. Retrieved from The Climate Registry: https://www.theclimateregistry.org/our-members/cris-public-reports/</w:t>
              </w:r>
            </w:p>
            <w:p w14:paraId="57C85E48" w14:textId="77777777" w:rsidR="00760064" w:rsidRDefault="00760064" w:rsidP="00760064">
              <w:pPr>
                <w:pStyle w:val="Bibliography"/>
                <w:ind w:left="720" w:hanging="720"/>
                <w:rPr>
                  <w:noProof/>
                </w:rPr>
              </w:pPr>
              <w:r>
                <w:rPr>
                  <w:noProof/>
                </w:rPr>
                <w:t xml:space="preserve">U.S. Department of Agriculture. (2014). Washington State and County Data. In </w:t>
              </w:r>
              <w:r>
                <w:rPr>
                  <w:i/>
                  <w:iCs/>
                  <w:noProof/>
                </w:rPr>
                <w:t>2012 Census of Agriculture</w:t>
              </w:r>
              <w:r>
                <w:rPr>
                  <w:noProof/>
                </w:rPr>
                <w:t xml:space="preserve"> (Vol. 1).</w:t>
              </w:r>
            </w:p>
            <w:p w14:paraId="3CD5CC18" w14:textId="77777777" w:rsidR="00760064" w:rsidRDefault="00760064" w:rsidP="00760064">
              <w:pPr>
                <w:pStyle w:val="Bibliography"/>
                <w:ind w:left="720" w:hanging="720"/>
                <w:rPr>
                  <w:noProof/>
                </w:rPr>
              </w:pPr>
              <w:r>
                <w:rPr>
                  <w:noProof/>
                </w:rPr>
                <w:t xml:space="preserve">U.S. Energy Information Administration. (2015, May). </w:t>
              </w:r>
              <w:r>
                <w:rPr>
                  <w:i/>
                  <w:iCs/>
                  <w:noProof/>
                </w:rPr>
                <w:t>Sales of Distillate Fuel Oil by End Use</w:t>
              </w:r>
              <w:r>
                <w:rPr>
                  <w:noProof/>
                </w:rPr>
                <w:t>. Retrieved from Petroleum and Other Liquids: https://www.eia.gov/dnav/pet/pet_cons_821dst_dcu_swa_a.htm</w:t>
              </w:r>
            </w:p>
            <w:p w14:paraId="710389AF" w14:textId="77777777" w:rsidR="00760064" w:rsidRDefault="00760064" w:rsidP="00760064">
              <w:pPr>
                <w:pStyle w:val="Bibliography"/>
                <w:ind w:left="720" w:hanging="720"/>
                <w:rPr>
                  <w:noProof/>
                </w:rPr>
              </w:pPr>
              <w:r>
                <w:rPr>
                  <w:noProof/>
                </w:rPr>
                <w:t xml:space="preserve">U.S. Environmental Protection Agency. (2008). </w:t>
              </w:r>
              <w:r>
                <w:rPr>
                  <w:i/>
                  <w:iCs/>
                  <w:noProof/>
                </w:rPr>
                <w:t>Inventory of U.S. Greenhouse Gas Emissions and Sinks:1990-2006.</w:t>
              </w:r>
              <w:r>
                <w:rPr>
                  <w:noProof/>
                </w:rPr>
                <w:t xml:space="preserve"> </w:t>
              </w:r>
            </w:p>
            <w:p w14:paraId="2FC5FE07" w14:textId="77777777" w:rsidR="00760064" w:rsidRDefault="00760064" w:rsidP="00760064">
              <w:pPr>
                <w:pStyle w:val="Bibliography"/>
                <w:ind w:left="720" w:hanging="720"/>
                <w:rPr>
                  <w:noProof/>
                </w:rPr>
              </w:pPr>
              <w:r>
                <w:rPr>
                  <w:noProof/>
                </w:rPr>
                <w:t xml:space="preserve">U.S. Environmental Protection Agency. (2017). </w:t>
              </w:r>
              <w:r>
                <w:rPr>
                  <w:i/>
                  <w:iCs/>
                  <w:noProof/>
                </w:rPr>
                <w:t>Inventory of U.S. Greenhouse Gas Emissions and Sinks 1990-2015.</w:t>
              </w:r>
              <w:r>
                <w:rPr>
                  <w:noProof/>
                </w:rPr>
                <w:t xml:space="preserve"> </w:t>
              </w:r>
            </w:p>
            <w:p w14:paraId="59AF2B55" w14:textId="77777777" w:rsidR="00760064" w:rsidRDefault="00760064" w:rsidP="00760064">
              <w:pPr>
                <w:pStyle w:val="Bibliography"/>
                <w:ind w:left="720" w:hanging="720"/>
                <w:rPr>
                  <w:noProof/>
                </w:rPr>
              </w:pPr>
              <w:r>
                <w:rPr>
                  <w:noProof/>
                </w:rPr>
                <w:t xml:space="preserve">Washington State Department of Commerce. (2015). </w:t>
              </w:r>
              <w:r>
                <w:rPr>
                  <w:i/>
                  <w:iCs/>
                  <w:noProof/>
                </w:rPr>
                <w:t>2015 Fuel Mix Disclosure Data.</w:t>
              </w:r>
              <w:r>
                <w:rPr>
                  <w:noProof/>
                </w:rPr>
                <w:t xml:space="preserve"> </w:t>
              </w:r>
            </w:p>
            <w:p w14:paraId="301E3F16" w14:textId="77777777" w:rsidR="00760064" w:rsidRDefault="00760064" w:rsidP="00760064">
              <w:pPr>
                <w:pStyle w:val="Bibliography"/>
                <w:ind w:left="720" w:hanging="720"/>
                <w:rPr>
                  <w:noProof/>
                </w:rPr>
              </w:pPr>
              <w:r>
                <w:rPr>
                  <w:noProof/>
                </w:rPr>
                <w:t xml:space="preserve">Washington State Department of Transportation. (2015). </w:t>
              </w:r>
              <w:r>
                <w:rPr>
                  <w:i/>
                  <w:iCs/>
                  <w:noProof/>
                </w:rPr>
                <w:t>Washington State Ferries FY2015 Route Statements.</w:t>
              </w:r>
              <w:r>
                <w:rPr>
                  <w:noProof/>
                </w:rPr>
                <w:t xml:space="preserve"> </w:t>
              </w:r>
            </w:p>
            <w:p w14:paraId="1F6873DE" w14:textId="1B03AA14" w:rsidR="00C47774" w:rsidRDefault="00C47774" w:rsidP="00760064">
              <w:pPr>
                <w:pStyle w:val="Bibliography"/>
                <w:ind w:left="720" w:hanging="720"/>
                <w:rPr>
                  <w:noProof/>
                </w:rPr>
              </w:pPr>
              <w:r>
                <w:fldChar w:fldCharType="end"/>
              </w:r>
            </w:p>
          </w:sdtContent>
        </w:sdt>
      </w:sdtContent>
    </w:sdt>
    <w:sectPr w:rsidR="00C47774" w:rsidSect="00145809">
      <w:pgSz w:w="12240" w:h="15840"/>
      <w:pgMar w:top="1656"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Matt Round 2" w:date="2017-08-14T13:24:00Z" w:initials="MVK">
    <w:p w14:paraId="219B8AA6" w14:textId="77777777" w:rsidR="00B9756F" w:rsidRDefault="00B9756F" w:rsidP="00C71E64">
      <w:pPr>
        <w:pStyle w:val="CommentText"/>
      </w:pPr>
      <w:r>
        <w:rPr>
          <w:rStyle w:val="CommentReference"/>
        </w:rPr>
        <w:annotationRef/>
      </w:r>
      <w:r>
        <w:t>thank you for comparing to 2007 which is the baseline year for our targets. I added a few more data points I hope you can fill in.</w:t>
      </w:r>
    </w:p>
    <w:p w14:paraId="6722D2B3" w14:textId="77777777" w:rsidR="00B9756F" w:rsidRDefault="00B9756F" w:rsidP="00C71E64">
      <w:pPr>
        <w:pStyle w:val="CommentText"/>
      </w:pPr>
    </w:p>
    <w:p w14:paraId="3DFA1969" w14:textId="77777777" w:rsidR="00B9756F" w:rsidRDefault="00B9756F" w:rsidP="00C71E64">
      <w:pPr>
        <w:pStyle w:val="CommentText"/>
      </w:pPr>
      <w:r>
        <w:t>Can we also include some information about the 2007 data interpolation in the report? It doesn’t need to be detailed, but a paragraph about what was done seems necessary (should not be here in the main findings).</w:t>
      </w:r>
    </w:p>
  </w:comment>
  <w:comment w:id="8" w:author="Rachel Brombaugh" w:date="2017-08-17T14:36:00Z" w:initials="RHB">
    <w:p w14:paraId="3EAD98B4" w14:textId="77777777" w:rsidR="00B9756F" w:rsidRDefault="00B9756F" w:rsidP="00C71E64">
      <w:pPr>
        <w:pStyle w:val="CommentText"/>
      </w:pPr>
      <w:r>
        <w:rPr>
          <w:rStyle w:val="CommentReference"/>
        </w:rPr>
        <w:annotationRef/>
      </w:r>
      <w:r>
        <w:t xml:space="preserve">Could these changes be expressed in a % value also? </w:t>
      </w:r>
    </w:p>
  </w:comment>
  <w:comment w:id="9" w:author="Rachel Brombaugh" w:date="2017-08-16T13:38:00Z" w:initials="RHB">
    <w:p w14:paraId="710BC020" w14:textId="40DC5713" w:rsidR="00B9756F" w:rsidRDefault="00B9756F">
      <w:pPr>
        <w:pStyle w:val="CommentText"/>
      </w:pPr>
      <w:r>
        <w:rPr>
          <w:rStyle w:val="CommentReference"/>
        </w:rPr>
        <w:annotationRef/>
      </w:r>
      <w:r>
        <w:t xml:space="preserve">We speak to increases in commercial and residential electricity and natural gas usage in the summary (previous page) but aggregate the fuel sources here. What would this look like if the fuel sources were split out? </w:t>
      </w:r>
    </w:p>
  </w:comment>
  <w:comment w:id="11" w:author="Rachel Brombaugh" w:date="2017-08-16T13:38:00Z" w:initials="RHB">
    <w:p w14:paraId="4EB6541B" w14:textId="77777777" w:rsidR="00B9756F" w:rsidRDefault="00B9756F" w:rsidP="00171AB8">
      <w:pPr>
        <w:pStyle w:val="CommentText"/>
      </w:pPr>
      <w:r>
        <w:rPr>
          <w:rStyle w:val="CommentReference"/>
        </w:rPr>
        <w:annotationRef/>
      </w:r>
      <w:r>
        <w:t xml:space="preserve">We speak to increases in commercial and residential electricity and natural gas usage in the summary (previous page) but aggregate the fuel sources here. What would this look like if the fuel sources were split out? </w:t>
      </w:r>
    </w:p>
  </w:comment>
  <w:comment w:id="21" w:author="Matt Round 2" w:date="2017-08-14T13:24:00Z" w:initials="MVK">
    <w:p w14:paraId="4245BEB2" w14:textId="77777777" w:rsidR="00B9756F" w:rsidRDefault="00B9756F" w:rsidP="00F03AF7">
      <w:pPr>
        <w:pStyle w:val="CommentText"/>
      </w:pPr>
      <w:r>
        <w:rPr>
          <w:rStyle w:val="CommentReference"/>
        </w:rPr>
        <w:annotationRef/>
      </w:r>
      <w:r>
        <w:t>thank you for comparing to 2007 which is the baseline year for our targets. I added a few more data points I hope you can fill in.</w:t>
      </w:r>
    </w:p>
    <w:p w14:paraId="08B1785A" w14:textId="77777777" w:rsidR="00B9756F" w:rsidRDefault="00B9756F" w:rsidP="00F03AF7">
      <w:pPr>
        <w:pStyle w:val="CommentText"/>
      </w:pPr>
    </w:p>
    <w:p w14:paraId="1B62C554" w14:textId="77777777" w:rsidR="00B9756F" w:rsidRDefault="00B9756F" w:rsidP="00F03AF7">
      <w:pPr>
        <w:pStyle w:val="CommentText"/>
      </w:pPr>
      <w:r>
        <w:t>Can we also include some information about the 2007 data interpolation in the report? It doesn’t need to be detailed, but a paragraph about what was done seems necessary (should not be here in the main findings).</w:t>
      </w:r>
    </w:p>
  </w:comment>
  <w:comment w:id="22" w:author="Rachel Brombaugh" w:date="2017-08-17T14:36:00Z" w:initials="RHB">
    <w:p w14:paraId="3738D692" w14:textId="77777777" w:rsidR="00B9756F" w:rsidRDefault="00B9756F" w:rsidP="00F03AF7">
      <w:pPr>
        <w:pStyle w:val="CommentText"/>
      </w:pPr>
      <w:r>
        <w:rPr>
          <w:rStyle w:val="CommentReference"/>
        </w:rPr>
        <w:annotationRef/>
      </w:r>
      <w:r>
        <w:t xml:space="preserve">Could these changes be expressed in a % value also? </w:t>
      </w:r>
    </w:p>
  </w:comment>
  <w:comment w:id="23" w:author="Rachel Brombaugh" w:date="2017-08-16T13:38:00Z" w:initials="RHB">
    <w:p w14:paraId="1A8C7B94" w14:textId="77777777" w:rsidR="00B9756F" w:rsidRDefault="00B9756F" w:rsidP="00F03AF7">
      <w:pPr>
        <w:pStyle w:val="CommentText"/>
      </w:pPr>
      <w:r>
        <w:rPr>
          <w:rStyle w:val="CommentReference"/>
        </w:rPr>
        <w:annotationRef/>
      </w:r>
      <w:r>
        <w:t xml:space="preserve">We speak to increases in commercial and residential electricity and natural gas usage in the summary (previous page) but aggregate the fuel sources here. What would this look like if the fuel sources were split out? </w:t>
      </w:r>
    </w:p>
  </w:comment>
  <w:comment w:id="24" w:author="Rachel Brombaugh" w:date="2017-08-16T13:38:00Z" w:initials="RHB">
    <w:p w14:paraId="1A6D9CC2" w14:textId="77777777" w:rsidR="00B9756F" w:rsidRDefault="00B9756F" w:rsidP="00F03AF7">
      <w:pPr>
        <w:pStyle w:val="CommentText"/>
      </w:pPr>
      <w:r>
        <w:rPr>
          <w:rStyle w:val="CommentReference"/>
        </w:rPr>
        <w:annotationRef/>
      </w:r>
      <w:r>
        <w:t xml:space="preserve">We speak to increases in commercial and residential electricity and natural gas usage in the summary (previous page) but aggregate the fuel sources here. What would this look like if the fuel sources were split out? </w:t>
      </w:r>
    </w:p>
  </w:comment>
  <w:comment w:id="25" w:author="Rachel Brombaugh" w:date="2017-08-16T14:10:00Z" w:initials="RHB">
    <w:p w14:paraId="6D4FCBF3" w14:textId="77777777" w:rsidR="00B9756F" w:rsidRDefault="00B9756F" w:rsidP="007F4430">
      <w:pPr>
        <w:pStyle w:val="CommentText"/>
      </w:pPr>
      <w:r>
        <w:rPr>
          <w:rStyle w:val="CommentReference"/>
        </w:rPr>
        <w:annotationRef/>
      </w:r>
      <w:r>
        <w:t xml:space="preserve">Would it make sense to have a </w:t>
      </w:r>
      <w:proofErr w:type="gramStart"/>
      <w:r>
        <w:t>high level</w:t>
      </w:r>
      <w:proofErr w:type="gramEnd"/>
      <w:r>
        <w:t xml:space="preserve"> pie chart (as in Table 5) then more detailed charts that show the breakout in the largest emission sectors -  residential/commercial/transportation?</w:t>
      </w:r>
    </w:p>
    <w:p w14:paraId="29502848" w14:textId="77777777" w:rsidR="00B9756F" w:rsidRDefault="00B9756F" w:rsidP="007F4430">
      <w:pPr>
        <w:pStyle w:val="CommentText"/>
      </w:pPr>
      <w:r>
        <w:t xml:space="preserve">What I’d like to see is the message bold and clear about the highest emitting sources. </w:t>
      </w:r>
    </w:p>
  </w:comment>
  <w:comment w:id="26" w:author="Andrea Martin" w:date="2017-09-09T11:29:00Z" w:initials="AM">
    <w:p w14:paraId="274F7367" w14:textId="71C4C718" w:rsidR="00B9756F" w:rsidRDefault="00B9756F">
      <w:pPr>
        <w:pStyle w:val="CommentText"/>
      </w:pPr>
      <w:r>
        <w:rPr>
          <w:rStyle w:val="CommentReference"/>
        </w:rPr>
        <w:annotationRef/>
      </w:r>
      <w:r>
        <w:t>There are individual charts in the sector-specific sections. Let’s discuss how the tables you are looking for here would complement those.</w:t>
      </w:r>
    </w:p>
  </w:comment>
  <w:comment w:id="27" w:author="Rachel Brombaugh" w:date="2017-08-16T14:07:00Z" w:initials="RHB">
    <w:p w14:paraId="03262781" w14:textId="77777777" w:rsidR="00B9756F" w:rsidRDefault="00B9756F" w:rsidP="007F4430">
      <w:pPr>
        <w:pStyle w:val="CommentText"/>
      </w:pPr>
      <w:r>
        <w:rPr>
          <w:rStyle w:val="CommentReference"/>
        </w:rPr>
        <w:annotationRef/>
      </w:r>
      <w:r>
        <w:t xml:space="preserve">Can we do a % chart too? </w:t>
      </w:r>
    </w:p>
  </w:comment>
  <w:comment w:id="28" w:author="Matt Round 2" w:date="2017-08-17T16:36:00Z" w:initials="MVK">
    <w:p w14:paraId="69C62F11" w14:textId="77777777" w:rsidR="00B9756F" w:rsidRDefault="00B9756F" w:rsidP="007F4430">
      <w:pPr>
        <w:pStyle w:val="CommentText"/>
      </w:pPr>
      <w:r>
        <w:rPr>
          <w:rStyle w:val="CommentReference"/>
        </w:rPr>
        <w:annotationRef/>
      </w:r>
      <w:r>
        <w:t>this is useful. maybe skip the total for 2010 since it is only a partial total and otherwise misleading</w:t>
      </w:r>
    </w:p>
  </w:comment>
  <w:comment w:id="29" w:author="Rachel Brombaugh" w:date="2017-08-16T14:12:00Z" w:initials="RHB">
    <w:p w14:paraId="29959A6B" w14:textId="77777777" w:rsidR="00B9756F" w:rsidRDefault="00B9756F" w:rsidP="007F4430">
      <w:pPr>
        <w:pStyle w:val="CommentText"/>
      </w:pPr>
      <w:r>
        <w:rPr>
          <w:rStyle w:val="CommentReference"/>
        </w:rPr>
        <w:annotationRef/>
      </w:r>
      <w:r>
        <w:t xml:space="preserve">Any trend in either sector that would worth illustrating? </w:t>
      </w:r>
    </w:p>
  </w:comment>
  <w:comment w:id="30" w:author="Andrea Martin" w:date="2017-10-03T12:44:00Z" w:initials="AM">
    <w:p w14:paraId="1FA9E6CF" w14:textId="1B05F901" w:rsidR="007840EA" w:rsidRDefault="007840EA">
      <w:pPr>
        <w:pStyle w:val="CommentText"/>
      </w:pPr>
      <w:r>
        <w:rPr>
          <w:rStyle w:val="CommentReference"/>
        </w:rPr>
        <w:annotationRef/>
      </w:r>
      <w:r>
        <w:t>Added a bullet point to this effect. I made some graphs, but I don’t think they are interesting enough to include in the report.</w:t>
      </w:r>
    </w:p>
  </w:comment>
  <w:comment w:id="31" w:author="Matt Round 2" w:date="2017-08-17T16:38:00Z" w:initials="MVK">
    <w:p w14:paraId="3CD021FF" w14:textId="77777777" w:rsidR="00B9756F" w:rsidRDefault="00B9756F" w:rsidP="007F4430">
      <w:pPr>
        <w:pStyle w:val="CommentText"/>
      </w:pPr>
      <w:r>
        <w:rPr>
          <w:rStyle w:val="CommentReference"/>
        </w:rPr>
        <w:annotationRef/>
      </w:r>
      <w:r>
        <w:t xml:space="preserve">could you add in the </w:t>
      </w:r>
      <w:proofErr w:type="spellStart"/>
      <w:r>
        <w:t>egrid</w:t>
      </w:r>
      <w:proofErr w:type="spellEnd"/>
      <w:r>
        <w:t xml:space="preserve"> coefficient for comparison purposes? also for this figure and the one below can you say the region of the </w:t>
      </w:r>
      <w:proofErr w:type="spellStart"/>
      <w:r>
        <w:t>egrid</w:t>
      </w:r>
      <w:proofErr w:type="spellEnd"/>
      <w:r>
        <w:t xml:space="preserve"> factor or a little more about what </w:t>
      </w:r>
      <w:proofErr w:type="spellStart"/>
      <w:r>
        <w:t>egrid</w:t>
      </w:r>
      <w:proofErr w:type="spellEnd"/>
      <w:r>
        <w:t xml:space="preserve"> PNW (or whatever) is?</w:t>
      </w:r>
    </w:p>
  </w:comment>
  <w:comment w:id="34" w:author="Rachel Brombaugh" w:date="2017-08-16T14:14:00Z" w:initials="RHB">
    <w:p w14:paraId="17B5132C" w14:textId="77777777" w:rsidR="00B9756F" w:rsidRDefault="00B9756F" w:rsidP="007F4430">
      <w:pPr>
        <w:pStyle w:val="CommentText"/>
      </w:pPr>
      <w:r>
        <w:rPr>
          <w:rStyle w:val="CommentReference"/>
        </w:rPr>
        <w:annotationRef/>
      </w:r>
      <w:r>
        <w:t>The “commercial airport” sector is unclear to me. Does that include leisure and business travel and other?</w:t>
      </w:r>
    </w:p>
  </w:comment>
  <w:comment w:id="35" w:author="Andrea Martin" w:date="2017-09-09T12:07:00Z" w:initials="AM">
    <w:p w14:paraId="7A7419F3" w14:textId="687EA39D" w:rsidR="00B9756F" w:rsidRDefault="00B9756F">
      <w:pPr>
        <w:pStyle w:val="CommentText"/>
      </w:pPr>
      <w:r>
        <w:rPr>
          <w:rStyle w:val="CommentReference"/>
        </w:rPr>
        <w:annotationRef/>
      </w:r>
      <w:r>
        <w:t>It does not include leisure and business travel – only landing and takeoff emissions at SeaTac. The leisure and business travel will be included in the consumption-based inventory.</w:t>
      </w:r>
    </w:p>
  </w:comment>
  <w:comment w:id="36" w:author="Rachel Brombaugh" w:date="2017-08-16T14:15:00Z" w:initials="RHB">
    <w:p w14:paraId="0D739E66" w14:textId="77777777" w:rsidR="00B9756F" w:rsidRDefault="00B9756F" w:rsidP="007F4430">
      <w:pPr>
        <w:pStyle w:val="CommentText"/>
      </w:pPr>
      <w:r>
        <w:rPr>
          <w:rStyle w:val="CommentReference"/>
        </w:rPr>
        <w:annotationRef/>
      </w:r>
      <w:r>
        <w:t>I thought Industrial was part of the Built Environment section (earlier). Thi</w:t>
      </w:r>
    </w:p>
  </w:comment>
  <w:comment w:id="37" w:author="Andrea Martin" w:date="2017-09-09T12:10:00Z" w:initials="AM">
    <w:p w14:paraId="6254944A" w14:textId="57C67720" w:rsidR="00B9756F" w:rsidRDefault="00B9756F">
      <w:pPr>
        <w:pStyle w:val="CommentText"/>
      </w:pPr>
      <w:r>
        <w:rPr>
          <w:rStyle w:val="CommentReference"/>
        </w:rPr>
        <w:annotationRef/>
      </w:r>
      <w:r>
        <w:t xml:space="preserve">Clarified by </w:t>
      </w:r>
      <w:proofErr w:type="gramStart"/>
      <w:r>
        <w:t>calling  the</w:t>
      </w:r>
      <w:proofErr w:type="gramEnd"/>
      <w:r>
        <w:t xml:space="preserve"> earlier section “Residential and Commercial Buildings”</w:t>
      </w:r>
    </w:p>
  </w:comment>
  <w:comment w:id="41" w:author="Matt Round 2" w:date="2017-08-14T13:30:00Z" w:initials="MVK">
    <w:p w14:paraId="413F3C1B" w14:textId="5646E332" w:rsidR="00B9756F" w:rsidRDefault="00B9756F">
      <w:pPr>
        <w:pStyle w:val="CommentText"/>
      </w:pPr>
      <w:r>
        <w:rPr>
          <w:rStyle w:val="CommentReference"/>
        </w:rPr>
        <w:annotationRef/>
      </w:r>
      <w:r>
        <w:t>matt to review</w:t>
      </w:r>
    </w:p>
  </w:comment>
  <w:comment w:id="42" w:author="Matt Round 2" w:date="2017-08-14T13:32:00Z" w:initials="MVK">
    <w:p w14:paraId="204024B5" w14:textId="36F2A1B9" w:rsidR="00B9756F" w:rsidRDefault="00B9756F">
      <w:pPr>
        <w:pStyle w:val="CommentText"/>
      </w:pPr>
      <w:r>
        <w:rPr>
          <w:rStyle w:val="CommentReference"/>
        </w:rPr>
        <w:annotationRef/>
      </w:r>
      <w:r>
        <w:t>matt to review</w:t>
      </w:r>
    </w:p>
  </w:comment>
  <w:comment w:id="43" w:author="Matt Round 2" w:date="2017-08-14T13:37:00Z" w:initials="MVK">
    <w:p w14:paraId="6A40A096" w14:textId="00CDB9C5" w:rsidR="00B9756F" w:rsidRDefault="00B9756F">
      <w:pPr>
        <w:pStyle w:val="CommentText"/>
      </w:pPr>
      <w:r>
        <w:rPr>
          <w:rStyle w:val="CommentReference"/>
        </w:rPr>
        <w:annotationRef/>
      </w:r>
      <w:r>
        <w:t>matt to review</w:t>
      </w:r>
    </w:p>
  </w:comment>
  <w:comment w:id="46" w:author="Rachel Brombaugh" w:date="2017-08-16T13:51:00Z" w:initials="RHB">
    <w:p w14:paraId="7C89C3D8" w14:textId="61061CCB" w:rsidR="00B9756F" w:rsidRDefault="00B9756F">
      <w:pPr>
        <w:pStyle w:val="CommentText"/>
      </w:pPr>
      <w:r>
        <w:rPr>
          <w:rStyle w:val="CommentReference"/>
        </w:rPr>
        <w:annotationRef/>
      </w:r>
      <w:r>
        <w:t xml:space="preserve">The Community Protocol has 5 different buckets (the text box won’t let me highlight), which presents a structure that the rest of the study doesn’t exactly follow. It would be good to either explain why the study varies from the protocol outlined below or make the analysis consistent. </w:t>
      </w:r>
    </w:p>
  </w:comment>
  <w:comment w:id="48" w:author="Matt Round 2" w:date="2017-08-17T14:40:00Z" w:initials="MVK">
    <w:p w14:paraId="049C1BA9" w14:textId="77777777" w:rsidR="00B9756F" w:rsidRDefault="00B9756F" w:rsidP="003B038C">
      <w:pPr>
        <w:pStyle w:val="CommentText"/>
      </w:pPr>
      <w:r>
        <w:rPr>
          <w:rStyle w:val="CommentReference"/>
        </w:rPr>
        <w:annotationRef/>
      </w:r>
      <w:r>
        <w:t xml:space="preserve">Rachel: </w:t>
      </w:r>
      <w:r>
        <w:rPr>
          <w:rStyle w:val="CommentReference"/>
        </w:rPr>
        <w:annotationRef/>
      </w:r>
      <w:r>
        <w:t xml:space="preserve">So, at this point in the study (page 18) I’m looking for the meat of the study – the results. This chart, while very important, is another 5 pages of methodology documentation, which could be moved back. </w:t>
      </w:r>
    </w:p>
    <w:p w14:paraId="01272DD2" w14:textId="70DDB600" w:rsidR="00B9756F" w:rsidRDefault="00B9756F">
      <w:pPr>
        <w:pStyle w:val="CommentText"/>
      </w:pPr>
    </w:p>
    <w:p w14:paraId="73DDC708" w14:textId="6C760FB1" w:rsidR="00B9756F" w:rsidRDefault="00B9756F">
      <w:pPr>
        <w:pStyle w:val="CommentText"/>
      </w:pPr>
      <w:r>
        <w:t xml:space="preserve">Matt: </w:t>
      </w:r>
      <w:r>
        <w:rPr>
          <w:rStyle w:val="CommentReference"/>
        </w:rPr>
        <w:annotationRef/>
      </w:r>
      <w:r>
        <w:t>I agree with Rachel that reorganizing to put the results up front more would be helpful, if possible.</w:t>
      </w:r>
    </w:p>
  </w:comment>
  <w:comment w:id="49" w:author="Andrea Martin" w:date="2017-09-09T12:32:00Z" w:initials="AM">
    <w:p w14:paraId="6B418345" w14:textId="41B9FFFF" w:rsidR="00B9756F" w:rsidRDefault="00B9756F">
      <w:pPr>
        <w:pStyle w:val="CommentText"/>
      </w:pPr>
      <w:r>
        <w:rPr>
          <w:rStyle w:val="CommentReference"/>
        </w:rPr>
        <w:annotationRef/>
      </w:r>
      <w:r>
        <w:t>I moved the results section upfront.</w:t>
      </w:r>
    </w:p>
  </w:comment>
  <w:comment w:id="50" w:author="Rachel Brombaugh" w:date="2017-08-16T13:54:00Z" w:initials="RHB">
    <w:p w14:paraId="1C64A50B" w14:textId="77777777" w:rsidR="00B9756F" w:rsidRDefault="00B9756F" w:rsidP="00BD5FBC">
      <w:pPr>
        <w:pStyle w:val="CommentText"/>
      </w:pPr>
      <w:r>
        <w:rPr>
          <w:rStyle w:val="CommentReference"/>
        </w:rPr>
        <w:annotationRef/>
      </w:r>
      <w:r>
        <w:t xml:space="preserve">Transit is in here, may want to split out. </w:t>
      </w:r>
    </w:p>
  </w:comment>
  <w:comment w:id="51" w:author="Rachel Brombaugh" w:date="2017-08-17T16:34:00Z" w:initials="RHB">
    <w:p w14:paraId="729DB10A" w14:textId="0EF8DD38" w:rsidR="00B9756F" w:rsidRDefault="00B9756F">
      <w:pPr>
        <w:pStyle w:val="CommentText"/>
      </w:pPr>
      <w:r>
        <w:rPr>
          <w:rStyle w:val="CommentReference"/>
        </w:rPr>
        <w:annotationRef/>
      </w:r>
      <w:r>
        <w:t xml:space="preserve">Do you talk to the effect on emissions each change had? </w:t>
      </w:r>
    </w:p>
    <w:p w14:paraId="0844F8FB" w14:textId="77777777" w:rsidR="00B9756F" w:rsidRDefault="00B9756F">
      <w:pPr>
        <w:pStyle w:val="CommentText"/>
      </w:pPr>
    </w:p>
    <w:p w14:paraId="59107C70" w14:textId="23447705" w:rsidR="00B9756F" w:rsidRDefault="00B9756F">
      <w:pPr>
        <w:pStyle w:val="CommentText"/>
      </w:pPr>
      <w:r>
        <w:t>Matt adds: yes, if there were large changes in emissions that relate to a method change it would be good to highlight this. I think the biggest change was for transportation emissions?</w:t>
      </w:r>
    </w:p>
  </w:comment>
  <w:comment w:id="52" w:author="Matt Round 2" w:date="2017-08-17T16:34:00Z" w:initials="MVK">
    <w:p w14:paraId="5A571FC0" w14:textId="57CD4312" w:rsidR="00B9756F" w:rsidRDefault="00B9756F">
      <w:pPr>
        <w:pStyle w:val="CommentText"/>
      </w:pPr>
      <w:r>
        <w:rPr>
          <w:rStyle w:val="CommentReference"/>
        </w:rPr>
        <w:annotationRef/>
      </w:r>
      <w:r>
        <w:t xml:space="preserve">can you add what methodology updates were made to past inventory years for transportation? that is, did you have data for 2003, 2008, 2010, consistent with this revised approach or did you do some </w:t>
      </w:r>
      <w:proofErr w:type="spellStart"/>
      <w:r>
        <w:t>backcasting</w:t>
      </w:r>
      <w:proofErr w:type="spellEnd"/>
      <w:r>
        <w:t>?</w:t>
      </w:r>
    </w:p>
  </w:comment>
  <w:comment w:id="53" w:author="Andrea Martin" w:date="2017-05-25T12:06:00Z" w:initials="AM">
    <w:p w14:paraId="760BA2A3" w14:textId="77777777" w:rsidR="00B9756F" w:rsidRDefault="00B9756F" w:rsidP="00684FB2">
      <w:pPr>
        <w:pStyle w:val="CommentText"/>
      </w:pPr>
      <w:r>
        <w:rPr>
          <w:rStyle w:val="CommentReference"/>
        </w:rPr>
        <w:annotationRef/>
      </w:r>
      <w:r>
        <w:t>Does King County have measurements for these closed landfills?</w:t>
      </w:r>
    </w:p>
  </w:comment>
  <w:comment w:id="54" w:author="Matt Round 2" w:date="2017-08-14T15:06:00Z" w:initials="MVK">
    <w:p w14:paraId="376B380F" w14:textId="77777777" w:rsidR="00B9756F" w:rsidRDefault="00B9756F" w:rsidP="00684FB2">
      <w:pPr>
        <w:pStyle w:val="CommentText"/>
      </w:pPr>
      <w:r>
        <w:rPr>
          <w:rStyle w:val="CommentReference"/>
        </w:rPr>
        <w:annotationRef/>
      </w:r>
      <w:r>
        <w:t>likely should use totals reported to the EPA.  matt to follow up</w:t>
      </w:r>
    </w:p>
  </w:comment>
  <w:comment w:id="70" w:author="Andrea Martin" w:date="2017-08-11T07:27:00Z" w:initials="AM">
    <w:p w14:paraId="221C78D1" w14:textId="5817E699" w:rsidR="00B9756F" w:rsidRDefault="00B9756F">
      <w:pPr>
        <w:pStyle w:val="CommentText"/>
      </w:pPr>
      <w:r>
        <w:rPr>
          <w:rStyle w:val="CommentReference"/>
        </w:rPr>
        <w:annotationRef/>
      </w:r>
      <w:r>
        <w:t>To be completed</w:t>
      </w:r>
    </w:p>
  </w:comment>
  <w:comment w:id="72" w:author="Matt Round 2" w:date="2017-08-14T14:11:00Z" w:initials="MVK">
    <w:p w14:paraId="6868A162" w14:textId="79A43B37" w:rsidR="00B9756F" w:rsidRDefault="00B9756F">
      <w:pPr>
        <w:pStyle w:val="CommentText"/>
      </w:pPr>
      <w:r>
        <w:rPr>
          <w:rStyle w:val="CommentReference"/>
        </w:rPr>
        <w:annotationRef/>
      </w:r>
      <w:r>
        <w:t xml:space="preserve">I think there can be further updates to this section once the consumption inventory and contribution analysis is done. should provide a lot of </w:t>
      </w:r>
      <w:proofErr w:type="gramStart"/>
      <w:r>
        <w:t>good info</w:t>
      </w:r>
      <w:proofErr w:type="gramEnd"/>
      <w:r>
        <w:t>.</w:t>
      </w:r>
    </w:p>
  </w:comment>
  <w:comment w:id="73" w:author="Rachel Brombaugh" w:date="2017-08-16T14:33:00Z" w:initials="RHB">
    <w:p w14:paraId="05D170D2" w14:textId="42F737BF" w:rsidR="00B9756F" w:rsidRDefault="00B9756F">
      <w:pPr>
        <w:pStyle w:val="CommentText"/>
      </w:pPr>
      <w:r>
        <w:rPr>
          <w:rStyle w:val="CommentReference"/>
        </w:rPr>
        <w:annotationRef/>
      </w:r>
      <w:r>
        <w:t xml:space="preserve">Agreed – this section can be fleshed out once all the data and findings and analysis are complete.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FA1969" w15:done="1"/>
  <w15:commentEx w15:paraId="3EAD98B4" w15:done="1"/>
  <w15:commentEx w15:paraId="710BC020" w15:done="1"/>
  <w15:commentEx w15:paraId="4EB6541B" w15:done="1"/>
  <w15:commentEx w15:paraId="1B62C554" w15:done="1"/>
  <w15:commentEx w15:paraId="3738D692" w15:done="1"/>
  <w15:commentEx w15:paraId="1A8C7B94" w15:done="1"/>
  <w15:commentEx w15:paraId="1A6D9CC2" w15:done="1"/>
  <w15:commentEx w15:paraId="29502848" w15:done="0"/>
  <w15:commentEx w15:paraId="274F7367" w15:paraIdParent="29502848" w15:done="0"/>
  <w15:commentEx w15:paraId="03262781" w15:done="1"/>
  <w15:commentEx w15:paraId="69C62F11" w15:done="1"/>
  <w15:commentEx w15:paraId="29959A6B" w15:done="1"/>
  <w15:commentEx w15:paraId="1FA9E6CF" w15:paraIdParent="29959A6B" w15:done="1"/>
  <w15:commentEx w15:paraId="3CD021FF" w15:done="1"/>
  <w15:commentEx w15:paraId="17B5132C" w15:done="1"/>
  <w15:commentEx w15:paraId="7A7419F3" w15:paraIdParent="17B5132C" w15:done="1"/>
  <w15:commentEx w15:paraId="0D739E66" w15:done="1"/>
  <w15:commentEx w15:paraId="6254944A" w15:paraIdParent="0D739E66" w15:done="1"/>
  <w15:commentEx w15:paraId="413F3C1B" w15:done="0"/>
  <w15:commentEx w15:paraId="204024B5" w15:done="0"/>
  <w15:commentEx w15:paraId="6A40A096" w15:done="0"/>
  <w15:commentEx w15:paraId="7C89C3D8" w15:done="1"/>
  <w15:commentEx w15:paraId="73DDC708" w15:done="1"/>
  <w15:commentEx w15:paraId="6B418345" w15:paraIdParent="73DDC708" w15:done="1"/>
  <w15:commentEx w15:paraId="1C64A50B" w15:done="1"/>
  <w15:commentEx w15:paraId="59107C70" w15:done="0"/>
  <w15:commentEx w15:paraId="5A571FC0" w15:done="1"/>
  <w15:commentEx w15:paraId="760BA2A3" w15:done="0"/>
  <w15:commentEx w15:paraId="376B380F" w15:done="0"/>
  <w15:commentEx w15:paraId="221C78D1" w15:done="0"/>
  <w15:commentEx w15:paraId="6868A162" w15:done="0"/>
  <w15:commentEx w15:paraId="05D170D2"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6535B" w14:textId="77777777" w:rsidR="00700671" w:rsidRDefault="00700671" w:rsidP="00FC5C33">
      <w:pPr>
        <w:spacing w:after="0" w:line="240" w:lineRule="auto"/>
      </w:pPr>
      <w:r>
        <w:separator/>
      </w:r>
    </w:p>
  </w:endnote>
  <w:endnote w:type="continuationSeparator" w:id="0">
    <w:p w14:paraId="43812A21" w14:textId="77777777" w:rsidR="00700671" w:rsidRDefault="00700671" w:rsidP="00FC5C33">
      <w:pPr>
        <w:spacing w:after="0" w:line="240" w:lineRule="auto"/>
      </w:pPr>
      <w:r>
        <w:continuationSeparator/>
      </w:r>
    </w:p>
  </w:endnote>
  <w:endnote w:type="continuationNotice" w:id="1">
    <w:p w14:paraId="46009D65" w14:textId="77777777" w:rsidR="00700671" w:rsidRDefault="0070067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E5A0D" w14:textId="74DE288B" w:rsidR="00B9756F" w:rsidRPr="001A0E64" w:rsidRDefault="00B9756F" w:rsidP="001A0E64">
    <w:pPr>
      <w:pStyle w:val="Footer"/>
    </w:pPr>
    <w:r w:rsidRPr="001A0E64">
      <w:drawing>
        <wp:anchor distT="0" distB="0" distL="114300" distR="114300" simplePos="0" relativeHeight="251658241" behindDoc="1" locked="0" layoutInCell="1" allowOverlap="1" wp14:anchorId="49E678C5" wp14:editId="29B407E4">
          <wp:simplePos x="0" y="0"/>
          <wp:positionH relativeFrom="page">
            <wp:posOffset>0</wp:posOffset>
          </wp:positionH>
          <wp:positionV relativeFrom="bottomMargin">
            <wp:posOffset>104140</wp:posOffset>
          </wp:positionV>
          <wp:extent cx="10550769" cy="914399"/>
          <wp:effectExtent l="0" t="0" r="0"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50769" cy="914399"/>
                  </a:xfrm>
                  <a:prstGeom prst="rect">
                    <a:avLst/>
                  </a:prstGeom>
                </pic:spPr>
              </pic:pic>
            </a:graphicData>
          </a:graphic>
          <wp14:sizeRelH relativeFrom="page">
            <wp14:pctWidth>0</wp14:pctWidth>
          </wp14:sizeRelH>
          <wp14:sizeRelV relativeFrom="page">
            <wp14:pctHeight>0</wp14:pctHeight>
          </wp14:sizeRelV>
        </wp:anchor>
      </w:drawing>
    </w:r>
    <w:r>
      <w:t>Page</w:t>
    </w:r>
    <w:r w:rsidRPr="001A0E64">
      <w:t xml:space="preserve"> | </w:t>
    </w:r>
    <w:r w:rsidRPr="001A0E64">
      <w:fldChar w:fldCharType="begin"/>
    </w:r>
    <w:r w:rsidRPr="001A0E64">
      <w:instrText xml:space="preserve"> PAGE   \* MERGEFORMAT </w:instrText>
    </w:r>
    <w:r w:rsidRPr="001A0E64">
      <w:fldChar w:fldCharType="separate"/>
    </w:r>
    <w:r w:rsidR="00766C3E">
      <w:t>16</w:t>
    </w:r>
    <w:r w:rsidRPr="001A0E6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8748C" w14:textId="065204F3" w:rsidR="00B9756F" w:rsidRDefault="00B9756F">
    <w:pPr>
      <w:pStyle w:val="Footer"/>
    </w:pPr>
    <w:r>
      <w:drawing>
        <wp:anchor distT="0" distB="0" distL="114300" distR="114300" simplePos="0" relativeHeight="251658245" behindDoc="0" locked="0" layoutInCell="1" allowOverlap="1" wp14:anchorId="293D8E74" wp14:editId="62C6F92C">
          <wp:simplePos x="0" y="0"/>
          <wp:positionH relativeFrom="margin">
            <wp:posOffset>1757045</wp:posOffset>
          </wp:positionH>
          <wp:positionV relativeFrom="margin">
            <wp:posOffset>7404100</wp:posOffset>
          </wp:positionV>
          <wp:extent cx="3487420" cy="443865"/>
          <wp:effectExtent l="0" t="0" r="0" b="0"/>
          <wp:wrapSquare wrapText="bothSides"/>
          <wp:docPr id="5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7420" cy="44386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244" behindDoc="1" locked="1" layoutInCell="1" allowOverlap="1" wp14:anchorId="59804998" wp14:editId="29942396">
          <wp:simplePos x="0" y="0"/>
          <wp:positionH relativeFrom="page">
            <wp:posOffset>514350</wp:posOffset>
          </wp:positionH>
          <wp:positionV relativeFrom="margin">
            <wp:align>bottom</wp:align>
          </wp:positionV>
          <wp:extent cx="1929130" cy="8318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cadia_Logo.png"/>
                  <pic:cNvPicPr/>
                </pic:nvPicPr>
                <pic:blipFill>
                  <a:blip r:embed="rId2">
                    <a:extLst>
                      <a:ext uri="{28A0092B-C50C-407E-A947-70E740481C1C}">
                        <a14:useLocalDpi xmlns:a14="http://schemas.microsoft.com/office/drawing/2010/main" val="0"/>
                      </a:ext>
                    </a:extLst>
                  </a:blip>
                  <a:stretch>
                    <a:fillRect/>
                  </a:stretch>
                </pic:blipFill>
                <pic:spPr>
                  <a:xfrm>
                    <a:off x="0" y="0"/>
                    <a:ext cx="1929130" cy="8318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7283A" w14:textId="77777777" w:rsidR="00700671" w:rsidRDefault="00700671" w:rsidP="00FC5C33">
      <w:pPr>
        <w:spacing w:after="0" w:line="240" w:lineRule="auto"/>
      </w:pPr>
      <w:r>
        <w:separator/>
      </w:r>
    </w:p>
  </w:footnote>
  <w:footnote w:type="continuationSeparator" w:id="0">
    <w:p w14:paraId="2BEDA59D" w14:textId="77777777" w:rsidR="00700671" w:rsidRDefault="00700671" w:rsidP="00FC5C33">
      <w:pPr>
        <w:spacing w:after="0" w:line="240" w:lineRule="auto"/>
      </w:pPr>
      <w:r>
        <w:continuationSeparator/>
      </w:r>
    </w:p>
  </w:footnote>
  <w:footnote w:type="continuationNotice" w:id="1">
    <w:p w14:paraId="68F5D114" w14:textId="77777777" w:rsidR="00700671" w:rsidRDefault="00700671">
      <w:pPr>
        <w:spacing w:before="0" w:after="0" w:line="240" w:lineRule="auto"/>
      </w:pPr>
    </w:p>
  </w:footnote>
  <w:footnote w:id="2">
    <w:p w14:paraId="24C7F6C7" w14:textId="77777777" w:rsidR="00B9756F" w:rsidRDefault="00B9756F" w:rsidP="00C71E64">
      <w:pPr>
        <w:pStyle w:val="FootnoteText"/>
      </w:pPr>
      <w:r>
        <w:rPr>
          <w:rStyle w:val="FootnoteReference"/>
        </w:rPr>
        <w:footnoteRef/>
      </w:r>
      <w:r>
        <w:t xml:space="preserve"> King County’s comprehensive GHG inventories are for 2003, 2008 and 2015 calendar years. The baseline year for adopted local GHG emissions reduction targets is 2007, and this report interpolates 2007 totals based on 2003 and 2008 inventory data. Results in this report are compared to both 2007 and 2008 years; 2010 data are also available for “core” GHG emissions sources and are presented.</w:t>
      </w:r>
    </w:p>
  </w:footnote>
  <w:footnote w:id="3">
    <w:p w14:paraId="7A237698" w14:textId="77777777" w:rsidR="00B9756F" w:rsidRDefault="00B9756F" w:rsidP="00F03AF7">
      <w:pPr>
        <w:pStyle w:val="FootnoteText"/>
      </w:pPr>
      <w:r>
        <w:rPr>
          <w:rStyle w:val="FootnoteReference"/>
        </w:rPr>
        <w:footnoteRef/>
      </w:r>
      <w:r>
        <w:t xml:space="preserve"> King County’s comprehensive GHG inventories are for 2003, 2008 and 2015 calendar years. The baseline year for adopted local GHG emissions reduction targets is 2007, and this report interpolates 2007 totals based on 2003 and 2008 inventory data. Results in this report are compared to both 2007 and 2008 years; 2010 data are also available for “core” GHG emissions sources and are presented.</w:t>
      </w:r>
    </w:p>
  </w:footnote>
  <w:footnote w:id="4">
    <w:p w14:paraId="6726E3D6" w14:textId="77777777" w:rsidR="00B9756F" w:rsidRDefault="00B9756F" w:rsidP="007F4430">
      <w:pPr>
        <w:pStyle w:val="FootnoteText"/>
      </w:pPr>
      <w:r>
        <w:rPr>
          <w:rStyle w:val="FootnoteReference"/>
        </w:rPr>
        <w:footnoteRef/>
      </w:r>
      <w:r>
        <w:t xml:space="preserve"> Methodologies may vary among jurisdictions. Comparison is for illustrative purposes only.</w:t>
      </w:r>
    </w:p>
  </w:footnote>
  <w:footnote w:id="5">
    <w:p w14:paraId="15755EEA" w14:textId="77777777" w:rsidR="00B9756F" w:rsidRDefault="00B9756F" w:rsidP="00B049D0">
      <w:pPr>
        <w:pStyle w:val="FootnoteText"/>
      </w:pPr>
      <w:r>
        <w:rPr>
          <w:rStyle w:val="FootnoteReference"/>
        </w:rPr>
        <w:footnoteRef/>
      </w:r>
      <w:r>
        <w:t xml:space="preserve"> “Greenhouse Gas Emissions in King County”, Stockholm Environment Institute, February 2012.  Available online at: </w:t>
      </w:r>
      <w:hyperlink r:id="rId1" w:history="1">
        <w:r w:rsidRPr="00CD3FE5">
          <w:rPr>
            <w:rStyle w:val="Hyperlink"/>
          </w:rPr>
          <w:t>http://your.kingcounty.gov/dnrp/library/dnrp-directors-office/climate/2008-emissions-inventory/ghg-inventory-full.pdf</w:t>
        </w:r>
      </w:hyperlink>
      <w:r>
        <w:t>.</w:t>
      </w:r>
    </w:p>
  </w:footnote>
  <w:footnote w:id="6">
    <w:p w14:paraId="52C6F679" w14:textId="77777777" w:rsidR="00B9756F" w:rsidRDefault="00B9756F" w:rsidP="00B049D0">
      <w:pPr>
        <w:pStyle w:val="FootnoteText"/>
      </w:pPr>
      <w:r>
        <w:rPr>
          <w:rStyle w:val="FootnoteReference"/>
        </w:rPr>
        <w:footnoteRef/>
      </w:r>
      <w:r>
        <w:t xml:space="preserve"> Minnesota </w:t>
      </w:r>
      <w:proofErr w:type="spellStart"/>
      <w:r>
        <w:t>Implan</w:t>
      </w:r>
      <w:proofErr w:type="spellEnd"/>
      <w:r>
        <w:t xml:space="preserve"> Group, Inc, 2017</w:t>
      </w:r>
    </w:p>
  </w:footnote>
  <w:footnote w:id="7">
    <w:p w14:paraId="35EA5407" w14:textId="77777777" w:rsidR="00B9756F" w:rsidRDefault="00B9756F" w:rsidP="00B049D0">
      <w:pPr>
        <w:pStyle w:val="FootnoteText"/>
      </w:pPr>
      <w:r>
        <w:rPr>
          <w:rStyle w:val="FootnoteReference"/>
        </w:rPr>
        <w:footnoteRef/>
      </w:r>
      <w:r>
        <w:t xml:space="preserve"> In addition to the revised 536-sector assignment, there are some methodological differences in the derivation of demand data by IMPLAN in 2015 versus 2008.  These differences have some influence on the comparability of the 2008 and 2015 demand data and emissions results, as discussed in the Results section of this document.</w:t>
      </w:r>
    </w:p>
  </w:footnote>
  <w:footnote w:id="8">
    <w:p w14:paraId="79A662BC" w14:textId="77777777" w:rsidR="00B9756F" w:rsidRDefault="00B9756F" w:rsidP="00B049D0">
      <w:pPr>
        <w:pStyle w:val="FootnoteText"/>
      </w:pPr>
      <w:r>
        <w:rPr>
          <w:rStyle w:val="FootnoteReference"/>
        </w:rPr>
        <w:footnoteRef/>
      </w:r>
      <w:r>
        <w:t xml:space="preserve"> U.S. Bureau of Labor Statistics CPI Inflation Calculator: </w:t>
      </w:r>
      <w:hyperlink r:id="rId2" w:history="1">
        <w:r w:rsidRPr="000352E4">
          <w:rPr>
            <w:rStyle w:val="Hyperlink"/>
          </w:rPr>
          <w:t>https://data.bls.gov/cgi-bin/cpicalc.pl</w:t>
        </w:r>
      </w:hyperlink>
      <w:r>
        <w:t>, accessed 8/16/2017.</w:t>
      </w:r>
    </w:p>
  </w:footnote>
  <w:footnote w:id="9">
    <w:p w14:paraId="0F183CFA" w14:textId="77777777" w:rsidR="00B9756F" w:rsidRDefault="00B9756F" w:rsidP="00B049D0">
      <w:pPr>
        <w:pStyle w:val="FootnoteText"/>
      </w:pPr>
      <w:r>
        <w:rPr>
          <w:rStyle w:val="FootnoteReference"/>
        </w:rPr>
        <w:footnoteRef/>
      </w:r>
      <w:r>
        <w:t xml:space="preserve"> The emissions accounting methodology within the geographic inventory has been revised from the original 2008 Inventory. These changes are incorporated into the 2015 CBEI use and disposal calculations but have not been retroactively applied to the 2008 CBEI results, and thus account for some of the difference between the 2008 and 2015 use and disposal emissions estimates. For example, the updated methodology for calculation of emissions from residential lawn and garden equipment results in an estimate approximately 8 times that of the previous methodology. Conversely, the calculation methodology for heavy duty truck emissions now results in about 50% of the previous estimate. (These examples were computed by applying the prior and current methodologies to the 2008 dataset.)</w:t>
      </w:r>
    </w:p>
  </w:footnote>
  <w:footnote w:id="10">
    <w:p w14:paraId="2FE7EAE9" w14:textId="77777777" w:rsidR="00B9756F" w:rsidRDefault="00B9756F" w:rsidP="00B049D0">
      <w:pPr>
        <w:pStyle w:val="FootnoteText"/>
      </w:pPr>
      <w:r>
        <w:rPr>
          <w:rStyle w:val="FootnoteReference"/>
        </w:rPr>
        <w:footnoteRef/>
      </w:r>
      <w:r>
        <w:t xml:space="preserve"> Business demand does include spending on </w:t>
      </w:r>
      <w:r>
        <w:rPr>
          <w:i/>
        </w:rPr>
        <w:t xml:space="preserve">unsold </w:t>
      </w:r>
      <w:r>
        <w:t>goods (changes in inventory).</w:t>
      </w:r>
    </w:p>
  </w:footnote>
  <w:footnote w:id="11">
    <w:p w14:paraId="1C8B898B" w14:textId="77777777" w:rsidR="00B9756F" w:rsidRDefault="00B9756F" w:rsidP="00B049D0">
      <w:pPr>
        <w:pStyle w:val="FootnoteText"/>
      </w:pPr>
      <w:r>
        <w:rPr>
          <w:rStyle w:val="FootnoteReference"/>
        </w:rPr>
        <w:footnoteRef/>
      </w:r>
      <w:r>
        <w:t xml:space="preserve"> Emissions from energy use and material disposal by businesses are attributed to the final consumer – for example production-phase emissions from household demand on a delivery service would include the delivery service’s fuel use.  This energy use and material disposal is represented in the commodity multipliers, where consumer demand on a business would translate to some amount of demand from that business to the energy or disposal sectors.  That demand is then translated to equivalent emissions with the appropriate emissions coefficients.  For another example, household demand on air transit ascribes aircraft fuel use emissions to the household, but characterized as production-phase emissions from the air travel industry. The county-level emission coefficients for the air travel sector are computed from SeaTac Airport emissions data ensuring an accurate representation of air travel emissions ascribed to King County households.</w:t>
      </w:r>
    </w:p>
  </w:footnote>
  <w:footnote w:id="12">
    <w:p w14:paraId="30286DA4" w14:textId="77777777" w:rsidR="00B9756F" w:rsidRDefault="00B9756F" w:rsidP="00B049D0">
      <w:pPr>
        <w:pStyle w:val="FootnoteText"/>
      </w:pPr>
      <w:r>
        <w:rPr>
          <w:rStyle w:val="FootnoteReference"/>
        </w:rPr>
        <w:footnoteRef/>
      </w:r>
      <w:r>
        <w:t xml:space="preserve"> The 2008 IMPLAN data show zero demand on the “Cars and Light Trucks” subcategory from business, whereas the 2015 IMPLAN data shows over $2B in consumption by business in this sector.  IMPLAIN explained this dramatic change to us as being due to “a change in our data processes and programs” for capital and inventory investment by business.  The CBEI modeler calculates the emissions from the reported 2015 demand to be 1.05 million tCO</w:t>
      </w:r>
      <w:r w:rsidRPr="00143C6F">
        <w:rPr>
          <w:vertAlign w:val="subscript"/>
        </w:rPr>
        <w:t>2</w:t>
      </w:r>
      <w:r>
        <w:t xml:space="preserve">e, or approximately 1.8% of the grand total calculated CBEI emissions.  </w:t>
      </w:r>
    </w:p>
  </w:footnote>
  <w:footnote w:id="13">
    <w:p w14:paraId="1A0305BF" w14:textId="77777777" w:rsidR="00B9756F" w:rsidRDefault="00B9756F" w:rsidP="00B049D0">
      <w:pPr>
        <w:pStyle w:val="FootnoteText"/>
      </w:pPr>
      <w:r>
        <w:rPr>
          <w:rStyle w:val="FootnoteReference"/>
        </w:rPr>
        <w:footnoteRef/>
      </w:r>
      <w:r>
        <w:t xml:space="preserve"> “Non-comparable </w:t>
      </w:r>
      <w:proofErr w:type="gramStart"/>
      <w:r>
        <w:t>foreign imports</w:t>
      </w:r>
      <w:proofErr w:type="gramEnd"/>
      <w:r>
        <w:t xml:space="preserve">” is defined by IMPLAN as </w:t>
      </w:r>
      <w:r w:rsidRPr="003C5F0F">
        <w:rPr>
          <w:i/>
        </w:rPr>
        <w:t xml:space="preserve">“goods that are not available anywhere in the nation. They consist of three types of services: (1) services that are produced and consumed abroad, such as airport expenditures by U.S. airlines in foreign countries; (2) service imports that are unique, such as payments for the rights to patents, copyrights, or industrial processes; and (3) service imports that cannot be identified by type, such as payments by U.S. companies to their foreign affiliates for an undefined </w:t>
      </w:r>
      <w:r>
        <w:rPr>
          <w:i/>
        </w:rPr>
        <w:t>’</w:t>
      </w:r>
      <w:r w:rsidRPr="003C5F0F">
        <w:rPr>
          <w:i/>
        </w:rPr>
        <w:t>basket</w:t>
      </w:r>
      <w:r>
        <w:rPr>
          <w:i/>
        </w:rPr>
        <w:t>’</w:t>
      </w:r>
      <w:r w:rsidRPr="003C5F0F">
        <w:rPr>
          <w:i/>
        </w:rPr>
        <w:t xml:space="preserve"> of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93527" w14:textId="795B4EBB" w:rsidR="00B9756F" w:rsidRPr="0026791D" w:rsidRDefault="00B9756F" w:rsidP="0026791D">
    <w:pPr>
      <w:pStyle w:val="HeaderShaded"/>
    </w:pPr>
    <w:r w:rsidRPr="00AB405E">
      <w:rPr>
        <w:spacing w:val="8"/>
        <w:lang w:eastAsia="en-US"/>
      </w:rPr>
      <w:drawing>
        <wp:anchor distT="0" distB="0" distL="114300" distR="114300" simplePos="0" relativeHeight="251658240" behindDoc="1" locked="1" layoutInCell="1" allowOverlap="1" wp14:anchorId="633EB882" wp14:editId="78395107">
          <wp:simplePos x="0" y="0"/>
          <wp:positionH relativeFrom="page">
            <wp:posOffset>635</wp:posOffset>
          </wp:positionH>
          <wp:positionV relativeFrom="topMargin">
            <wp:posOffset>9525</wp:posOffset>
          </wp:positionV>
          <wp:extent cx="10513695" cy="914400"/>
          <wp:effectExtent l="0" t="0" r="190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13695" cy="914400"/>
                  </a:xfrm>
                  <a:prstGeom prst="rect">
                    <a:avLst/>
                  </a:prstGeom>
                </pic:spPr>
              </pic:pic>
            </a:graphicData>
          </a:graphic>
          <wp14:sizeRelH relativeFrom="page">
            <wp14:pctWidth>0</wp14:pctWidth>
          </wp14:sizeRelH>
          <wp14:sizeRelV relativeFrom="page">
            <wp14:pctHeight>0</wp14:pctHeight>
          </wp14:sizeRelV>
        </wp:anchor>
      </w:drawing>
    </w:r>
    <w:r w:rsidRPr="0026791D">
      <w:fldChar w:fldCharType="begin"/>
    </w:r>
    <w:r w:rsidRPr="0026791D">
      <w:instrText xml:space="preserve"> If </w:instrText>
    </w:r>
    <w:r w:rsidRPr="0026791D">
      <w:fldChar w:fldCharType="begin"/>
    </w:r>
    <w:r w:rsidRPr="0026791D">
      <w:instrText xml:space="preserve"> STYLEREF “Heading 1”</w:instrText>
    </w:r>
    <w:r w:rsidRPr="0026791D">
      <w:fldChar w:fldCharType="separate"/>
    </w:r>
    <w:r w:rsidR="00766C3E">
      <w:instrText>Geographic-Plus Inventory</w:instrText>
    </w:r>
    <w:r w:rsidRPr="0026791D">
      <w:fldChar w:fldCharType="end"/>
    </w:r>
    <w:r w:rsidRPr="0026791D">
      <w:instrText>&lt;&gt; “Error*” “</w:instrText>
    </w:r>
    <w:r w:rsidRPr="0026791D">
      <w:fldChar w:fldCharType="begin"/>
    </w:r>
    <w:r w:rsidRPr="0026791D">
      <w:instrText xml:space="preserve"> STYLEREF “Heading 1”</w:instrText>
    </w:r>
    <w:r w:rsidRPr="0026791D">
      <w:fldChar w:fldCharType="separate"/>
    </w:r>
    <w:r w:rsidR="00766C3E">
      <w:instrText>Geographic-Plus Inventory</w:instrText>
    </w:r>
    <w:r w:rsidRPr="0026791D">
      <w:fldChar w:fldCharType="end"/>
    </w:r>
    <w:r w:rsidRPr="0026791D">
      <w:fldChar w:fldCharType="separate"/>
    </w:r>
    <w:r w:rsidR="00766C3E">
      <w:t>Geographic-Plus Inventory</w:t>
    </w:r>
    <w:r w:rsidRPr="0026791D">
      <w:fldChar w:fldCharType="end"/>
    </w:r>
  </w:p>
  <w:p w14:paraId="7E7D846F" w14:textId="667729E8" w:rsidR="00B9756F" w:rsidRPr="005871D5" w:rsidRDefault="00B9756F" w:rsidP="00AB405E">
    <w:pPr>
      <w:pStyle w:val="Header"/>
    </w:pPr>
    <w:r w:rsidRPr="00E04C28">
      <w:t>Greenhouse Gas Emissions in King County</w:t>
    </w:r>
    <w:r>
      <w:t>: A 2015 Update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E1633" w14:textId="0D9F624E" w:rsidR="00B9756F" w:rsidRDefault="00B9756F">
    <w:pPr>
      <w:pStyle w:val="Header"/>
    </w:pPr>
    <w:r w:rsidRPr="008D10CB">
      <w:rPr>
        <w:noProof/>
      </w:rPr>
      <w:drawing>
        <wp:anchor distT="0" distB="0" distL="114300" distR="114300" simplePos="0" relativeHeight="251658242" behindDoc="1" locked="0" layoutInCell="1" allowOverlap="1" wp14:anchorId="7A9F8600" wp14:editId="2A09A975">
          <wp:simplePos x="0" y="0"/>
          <wp:positionH relativeFrom="page">
            <wp:align>right</wp:align>
          </wp:positionH>
          <wp:positionV relativeFrom="paragraph">
            <wp:posOffset>-1016442</wp:posOffset>
          </wp:positionV>
          <wp:extent cx="7800975" cy="5146476"/>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463.JPG"/>
                  <pic:cNvPicPr/>
                </pic:nvPicPr>
                <pic:blipFill>
                  <a:blip r:embed="rId1">
                    <a:extLst>
                      <a:ext uri="{28A0092B-C50C-407E-A947-70E740481C1C}">
                        <a14:useLocalDpi xmlns:a14="http://schemas.microsoft.com/office/drawing/2010/main" val="0"/>
                      </a:ext>
                    </a:extLst>
                  </a:blip>
                  <a:stretch>
                    <a:fillRect/>
                  </a:stretch>
                </pic:blipFill>
                <pic:spPr>
                  <a:xfrm>
                    <a:off x="0" y="0"/>
                    <a:ext cx="7800975" cy="5146476"/>
                  </a:xfrm>
                  <a:prstGeom prst="rect">
                    <a:avLst/>
                  </a:prstGeom>
                </pic:spPr>
              </pic:pic>
            </a:graphicData>
          </a:graphic>
          <wp14:sizeRelH relativeFrom="page">
            <wp14:pctWidth>0</wp14:pctWidth>
          </wp14:sizeRelH>
          <wp14:sizeRelV relativeFrom="page">
            <wp14:pctHeight>0</wp14:pctHeight>
          </wp14:sizeRelV>
        </wp:anchor>
      </w:drawing>
    </w:r>
    <w:r w:rsidRPr="008D10CB">
      <w:rPr>
        <w:noProof/>
      </w:rPr>
      <w:drawing>
        <wp:anchor distT="0" distB="0" distL="114300" distR="114300" simplePos="0" relativeHeight="251658243" behindDoc="1" locked="1" layoutInCell="1" allowOverlap="1" wp14:anchorId="60473D50" wp14:editId="70B410C7">
          <wp:simplePos x="0" y="0"/>
          <wp:positionH relativeFrom="page">
            <wp:posOffset>0</wp:posOffset>
          </wp:positionH>
          <wp:positionV relativeFrom="page">
            <wp:posOffset>3660140</wp:posOffset>
          </wp:positionV>
          <wp:extent cx="7771765" cy="2305050"/>
          <wp:effectExtent l="0" t="0" r="63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1765" cy="2305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73A514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E448B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E62C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14E861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B5EDE8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0E4DA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AFC36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BAC52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2E861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34456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E08DF"/>
    <w:multiLevelType w:val="hybridMultilevel"/>
    <w:tmpl w:val="264EF0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310277C"/>
    <w:multiLevelType w:val="multilevel"/>
    <w:tmpl w:val="44D89FBA"/>
    <w:lvl w:ilvl="0">
      <w:start w:val="1"/>
      <w:numFmt w:val="decimal"/>
      <w:lvlText w:val="%1."/>
      <w:lvlJc w:val="left"/>
      <w:pPr>
        <w:ind w:left="360" w:hanging="360"/>
      </w:pPr>
      <w:rPr>
        <w:rFonts w:hint="default"/>
        <w:color w:val="CD7E3E" w:themeColor="accent5"/>
      </w:rPr>
    </w:lvl>
    <w:lvl w:ilvl="1">
      <w:start w:val="1"/>
      <w:numFmt w:val="lowerLetter"/>
      <w:lvlText w:val="%2."/>
      <w:lvlJc w:val="left"/>
      <w:pPr>
        <w:ind w:left="720" w:hanging="360"/>
      </w:pPr>
      <w:rPr>
        <w:rFonts w:hint="default"/>
        <w:color w:val="CD7E3E" w:themeColor="accent5"/>
      </w:rPr>
    </w:lvl>
    <w:lvl w:ilvl="2">
      <w:start w:val="1"/>
      <w:numFmt w:val="bullet"/>
      <w:lvlText w:val="-"/>
      <w:lvlJc w:val="left"/>
      <w:pPr>
        <w:ind w:left="1080" w:hanging="360"/>
      </w:pPr>
      <w:rPr>
        <w:rFonts w:ascii="Courier New" w:hAnsi="Courier New" w:hint="default"/>
        <w:color w:val="CD7E3E" w:themeColor="accent5"/>
      </w:rPr>
    </w:lvl>
    <w:lvl w:ilvl="3">
      <w:start w:val="1"/>
      <w:numFmt w:val="bullet"/>
      <w:lvlText w:val="-"/>
      <w:lvlJc w:val="left"/>
      <w:pPr>
        <w:ind w:left="1440" w:hanging="360"/>
      </w:pPr>
      <w:rPr>
        <w:rFonts w:ascii="Courier New" w:hAnsi="Courier New" w:hint="default"/>
        <w:color w:val="CD7E3E" w:themeColor="accent5"/>
      </w:rPr>
    </w:lvl>
    <w:lvl w:ilvl="4">
      <w:start w:val="1"/>
      <w:numFmt w:val="bullet"/>
      <w:lvlText w:val="-"/>
      <w:lvlJc w:val="left"/>
      <w:pPr>
        <w:ind w:left="1800" w:hanging="360"/>
      </w:pPr>
      <w:rPr>
        <w:rFonts w:ascii="Courier New" w:hAnsi="Courier New" w:hint="default"/>
        <w:color w:val="CD7E3E" w:themeColor="accent5"/>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4E57123"/>
    <w:multiLevelType w:val="hybridMultilevel"/>
    <w:tmpl w:val="07EE9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700764"/>
    <w:multiLevelType w:val="multilevel"/>
    <w:tmpl w:val="04090021"/>
    <w:numStyleLink w:val="Style1"/>
  </w:abstractNum>
  <w:abstractNum w:abstractNumId="14" w15:restartNumberingAfterBreak="0">
    <w:nsid w:val="0D91297C"/>
    <w:multiLevelType w:val="hybridMultilevel"/>
    <w:tmpl w:val="6F742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8337D3"/>
    <w:multiLevelType w:val="hybridMultilevel"/>
    <w:tmpl w:val="D35A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F367E3"/>
    <w:multiLevelType w:val="hybridMultilevel"/>
    <w:tmpl w:val="9C7A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7560BB"/>
    <w:multiLevelType w:val="multilevel"/>
    <w:tmpl w:val="0409001F"/>
    <w:styleLink w:val="Style2"/>
    <w:lvl w:ilvl="0">
      <w:start w:val="1"/>
      <w:numFmt w:val="decimal"/>
      <w:lvlText w:val="%1."/>
      <w:lvlJc w:val="left"/>
      <w:pPr>
        <w:ind w:left="360" w:hanging="360"/>
      </w:pPr>
      <w:rPr>
        <w:color w:val="9E5D29" w:themeColor="accent5" w:themeShade="BF"/>
      </w:rPr>
    </w:lvl>
    <w:lvl w:ilvl="1">
      <w:start w:val="1"/>
      <w:numFmt w:val="decimal"/>
      <w:lvlText w:val="%1.%2."/>
      <w:lvlJc w:val="left"/>
      <w:pPr>
        <w:ind w:left="792" w:hanging="432"/>
      </w:pPr>
      <w:rPr>
        <w:color w:val="9E5D29" w:themeColor="accent5" w:themeShade="BF"/>
      </w:rPr>
    </w:lvl>
    <w:lvl w:ilvl="2">
      <w:start w:val="1"/>
      <w:numFmt w:val="decimal"/>
      <w:lvlText w:val="%1.%2.%3."/>
      <w:lvlJc w:val="left"/>
      <w:pPr>
        <w:ind w:left="1224" w:hanging="504"/>
      </w:pPr>
      <w:rPr>
        <w:color w:val="9E5D29" w:themeColor="accent5" w:themeShade="BF"/>
      </w:rPr>
    </w:lvl>
    <w:lvl w:ilvl="3">
      <w:start w:val="1"/>
      <w:numFmt w:val="decimal"/>
      <w:lvlText w:val="%1.%2.%3.%4."/>
      <w:lvlJc w:val="left"/>
      <w:pPr>
        <w:ind w:left="1728" w:hanging="648"/>
      </w:pPr>
      <w:rPr>
        <w:color w:val="9E5D29" w:themeColor="accent5" w:themeShade="BF"/>
      </w:rPr>
    </w:lvl>
    <w:lvl w:ilvl="4">
      <w:start w:val="1"/>
      <w:numFmt w:val="decimal"/>
      <w:lvlText w:val="%1.%2.%3.%4.%5."/>
      <w:lvlJc w:val="left"/>
      <w:pPr>
        <w:ind w:left="2232" w:hanging="792"/>
      </w:pPr>
      <w:rPr>
        <w:color w:val="9E5D29" w:themeColor="accent5" w:themeShade="BF"/>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5E2CCC"/>
    <w:multiLevelType w:val="hybridMultilevel"/>
    <w:tmpl w:val="C4B2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322675"/>
    <w:multiLevelType w:val="multilevel"/>
    <w:tmpl w:val="04090021"/>
    <w:numStyleLink w:val="Style1"/>
  </w:abstractNum>
  <w:abstractNum w:abstractNumId="20" w15:restartNumberingAfterBreak="0">
    <w:nsid w:val="26BC303E"/>
    <w:multiLevelType w:val="hybridMultilevel"/>
    <w:tmpl w:val="9994526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7D01C43"/>
    <w:multiLevelType w:val="hybridMultilevel"/>
    <w:tmpl w:val="BA3E6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6E216E"/>
    <w:multiLevelType w:val="hybridMultilevel"/>
    <w:tmpl w:val="44165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0A48E4"/>
    <w:multiLevelType w:val="hybridMultilevel"/>
    <w:tmpl w:val="4AC86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801935"/>
    <w:multiLevelType w:val="hybridMultilevel"/>
    <w:tmpl w:val="8FA2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AF017A"/>
    <w:multiLevelType w:val="multilevel"/>
    <w:tmpl w:val="0409001F"/>
    <w:numStyleLink w:val="Style2"/>
  </w:abstractNum>
  <w:abstractNum w:abstractNumId="26" w15:restartNumberingAfterBreak="0">
    <w:nsid w:val="39A6477E"/>
    <w:multiLevelType w:val="hybridMultilevel"/>
    <w:tmpl w:val="D3BA0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7931C4"/>
    <w:multiLevelType w:val="hybridMultilevel"/>
    <w:tmpl w:val="F280D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B45E38"/>
    <w:multiLevelType w:val="hybridMultilevel"/>
    <w:tmpl w:val="8A7C2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8261D5"/>
    <w:multiLevelType w:val="multilevel"/>
    <w:tmpl w:val="0409001F"/>
    <w:numStyleLink w:val="Style2"/>
  </w:abstractNum>
  <w:abstractNum w:abstractNumId="30" w15:restartNumberingAfterBreak="0">
    <w:nsid w:val="49C01BF1"/>
    <w:multiLevelType w:val="multilevel"/>
    <w:tmpl w:val="04090021"/>
    <w:numStyleLink w:val="Style1"/>
  </w:abstractNum>
  <w:abstractNum w:abstractNumId="31" w15:restartNumberingAfterBreak="0">
    <w:nsid w:val="4B7478D9"/>
    <w:multiLevelType w:val="hybridMultilevel"/>
    <w:tmpl w:val="D1CC21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BBA5257"/>
    <w:multiLevelType w:val="multilevel"/>
    <w:tmpl w:val="0409001F"/>
    <w:numStyleLink w:val="Style2"/>
  </w:abstractNum>
  <w:abstractNum w:abstractNumId="33" w15:restartNumberingAfterBreak="0">
    <w:nsid w:val="4F873A9E"/>
    <w:multiLevelType w:val="hybridMultilevel"/>
    <w:tmpl w:val="B960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580DF1"/>
    <w:multiLevelType w:val="hybridMultilevel"/>
    <w:tmpl w:val="14240D0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5" w15:restartNumberingAfterBreak="0">
    <w:nsid w:val="58C25615"/>
    <w:multiLevelType w:val="hybridMultilevel"/>
    <w:tmpl w:val="4B3E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CF4D7B"/>
    <w:multiLevelType w:val="multilevel"/>
    <w:tmpl w:val="04090021"/>
    <w:styleLink w:val="Style1"/>
    <w:lvl w:ilvl="0">
      <w:start w:val="1"/>
      <w:numFmt w:val="bullet"/>
      <w:lvlText w:val=""/>
      <w:lvlJc w:val="left"/>
      <w:pPr>
        <w:ind w:left="360" w:hanging="360"/>
      </w:pPr>
      <w:rPr>
        <w:rFonts w:ascii="Wingdings" w:hAnsi="Wingdings" w:hint="default"/>
        <w:color w:val="9E5D29" w:themeColor="accent5" w:themeShade="BF"/>
      </w:rPr>
    </w:lvl>
    <w:lvl w:ilvl="1">
      <w:start w:val="1"/>
      <w:numFmt w:val="bullet"/>
      <w:lvlText w:val="-"/>
      <w:lvlJc w:val="left"/>
      <w:pPr>
        <w:ind w:left="720" w:hanging="360"/>
      </w:pPr>
      <w:rPr>
        <w:rFonts w:ascii="Courier New" w:hAnsi="Courier New" w:hint="default"/>
        <w:color w:val="9E5D29" w:themeColor="accent5" w:themeShade="BF"/>
      </w:rPr>
    </w:lvl>
    <w:lvl w:ilvl="2">
      <w:start w:val="1"/>
      <w:numFmt w:val="bullet"/>
      <w:lvlText w:val=""/>
      <w:lvlJc w:val="left"/>
      <w:pPr>
        <w:ind w:left="1080" w:hanging="360"/>
      </w:pPr>
      <w:rPr>
        <w:rFonts w:ascii="Wingdings" w:hAnsi="Wingdings" w:hint="default"/>
        <w:color w:val="9E5D29" w:themeColor="accent5" w:themeShade="BF"/>
      </w:rPr>
    </w:lvl>
    <w:lvl w:ilvl="3">
      <w:start w:val="1"/>
      <w:numFmt w:val="bullet"/>
      <w:lvlText w:val="-"/>
      <w:lvlJc w:val="left"/>
      <w:pPr>
        <w:ind w:left="1440" w:hanging="360"/>
      </w:pPr>
      <w:rPr>
        <w:rFonts w:ascii="Courier New" w:hAnsi="Courier New" w:hint="default"/>
        <w:color w:val="9E5D29" w:themeColor="accent5" w:themeShade="BF"/>
      </w:rPr>
    </w:lvl>
    <w:lvl w:ilvl="4">
      <w:start w:val="1"/>
      <w:numFmt w:val="bullet"/>
      <w:lvlText w:val="-"/>
      <w:lvlJc w:val="left"/>
      <w:pPr>
        <w:ind w:left="1800" w:hanging="360"/>
      </w:pPr>
      <w:rPr>
        <w:rFonts w:ascii="Courier New" w:hAnsi="Courier New" w:hint="default"/>
        <w:color w:val="9E5D29" w:themeColor="accent5" w:themeShade="BF"/>
      </w:rPr>
    </w:lvl>
    <w:lvl w:ilvl="5">
      <w:start w:val="1"/>
      <w:numFmt w:val="bullet"/>
      <w:lvlText w:val="-"/>
      <w:lvlJc w:val="left"/>
      <w:pPr>
        <w:ind w:left="2160" w:hanging="360"/>
      </w:pPr>
      <w:rPr>
        <w:rFonts w:ascii="Courier New" w:hAnsi="Courier New" w:hint="default"/>
        <w:color w:val="61939A" w:themeColor="accent3" w:themeShade="BF"/>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5ABB6EC8"/>
    <w:multiLevelType w:val="hybridMultilevel"/>
    <w:tmpl w:val="8872E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1251EB"/>
    <w:multiLevelType w:val="hybridMultilevel"/>
    <w:tmpl w:val="D1CC21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71B2150"/>
    <w:multiLevelType w:val="hybridMultilevel"/>
    <w:tmpl w:val="60724D06"/>
    <w:lvl w:ilvl="0" w:tplc="4C1C445E">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E780569"/>
    <w:multiLevelType w:val="hybridMultilevel"/>
    <w:tmpl w:val="738A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lvlOverride w:ilvl="0">
      <w:lvl w:ilvl="0">
        <w:start w:val="1"/>
        <w:numFmt w:val="bullet"/>
        <w:lvlText w:val=""/>
        <w:lvlJc w:val="left"/>
        <w:pPr>
          <w:ind w:left="360" w:hanging="360"/>
        </w:pPr>
        <w:rPr>
          <w:rFonts w:ascii="Wingdings" w:hAnsi="Wingdings" w:hint="default"/>
          <w:color w:val="61939A" w:themeColor="accent3" w:themeShade="BF"/>
        </w:rPr>
      </w:lvl>
    </w:lvlOverride>
    <w:lvlOverride w:ilvl="1">
      <w:lvl w:ilvl="1">
        <w:start w:val="1"/>
        <w:numFmt w:val="bullet"/>
        <w:lvlText w:val="-"/>
        <w:lvlJc w:val="left"/>
        <w:pPr>
          <w:ind w:left="720" w:hanging="360"/>
        </w:pPr>
        <w:rPr>
          <w:rFonts w:ascii="Courier New" w:hAnsi="Courier New" w:hint="default"/>
          <w:color w:val="61939A" w:themeColor="accent3" w:themeShade="BF"/>
        </w:rPr>
      </w:lvl>
    </w:lvlOverride>
  </w:num>
  <w:num w:numId="2">
    <w:abstractNumId w:val="36"/>
  </w:num>
  <w:num w:numId="3">
    <w:abstractNumId w:val="32"/>
  </w:num>
  <w:num w:numId="4">
    <w:abstractNumId w:val="17"/>
  </w:num>
  <w:num w:numId="5">
    <w:abstractNumId w:val="39"/>
  </w:num>
  <w:num w:numId="6">
    <w:abstractNumId w:val="25"/>
  </w:num>
  <w:num w:numId="7">
    <w:abstractNumId w:val="29"/>
    <w:lvlOverride w:ilvl="0">
      <w:lvl w:ilvl="0">
        <w:start w:val="1"/>
        <w:numFmt w:val="bullet"/>
        <w:lvlText w:val=""/>
        <w:lvlJc w:val="left"/>
        <w:pPr>
          <w:ind w:left="360" w:hanging="360"/>
        </w:pPr>
        <w:rPr>
          <w:rFonts w:ascii="Wingdings" w:hAnsi="Wingdings" w:hint="default"/>
          <w:color w:val="61939A" w:themeColor="accent3" w:themeShade="BF"/>
        </w:rPr>
      </w:lvl>
    </w:lvlOverride>
    <w:lvlOverride w:ilvl="1">
      <w:lvl w:ilvl="1">
        <w:start w:val="1"/>
        <w:numFmt w:val="bullet"/>
        <w:lvlText w:val="-"/>
        <w:lvlJc w:val="left"/>
        <w:pPr>
          <w:ind w:left="720" w:hanging="360"/>
        </w:pPr>
        <w:rPr>
          <w:rFonts w:ascii="Courier New" w:hAnsi="Courier New" w:hint="default"/>
          <w:color w:val="61939A" w:themeColor="accent3" w:themeShade="BF"/>
        </w:rPr>
      </w:lvl>
    </w:lvlOverride>
    <w:lvlOverride w:ilvl="2">
      <w:lvl w:ilvl="2">
        <w:start w:val="1"/>
        <w:numFmt w:val="bullet"/>
        <w:lvlText w:val=""/>
        <w:lvlJc w:val="left"/>
        <w:pPr>
          <w:ind w:left="1080" w:hanging="360"/>
        </w:pPr>
        <w:rPr>
          <w:rFonts w:ascii="Wingdings" w:hAnsi="Wingdings" w:hint="default"/>
          <w:color w:val="61939A" w:themeColor="accent3" w:themeShade="BF"/>
        </w:rPr>
      </w:lvl>
    </w:lvlOverride>
    <w:lvlOverride w:ilvl="3">
      <w:lvl w:ilvl="3">
        <w:start w:val="1"/>
        <w:numFmt w:val="bullet"/>
        <w:lvlText w:val="-"/>
        <w:lvlJc w:val="left"/>
        <w:pPr>
          <w:ind w:left="1440" w:hanging="360"/>
        </w:pPr>
        <w:rPr>
          <w:rFonts w:ascii="Courier New" w:hAnsi="Courier New" w:hint="default"/>
          <w:color w:val="61939A" w:themeColor="accent3" w:themeShade="BF"/>
        </w:rPr>
      </w:lvl>
    </w:lvlOverride>
    <w:lvlOverride w:ilvl="4">
      <w:lvl w:ilvl="4">
        <w:start w:val="1"/>
        <w:numFmt w:val="bullet"/>
        <w:lvlText w:val="-"/>
        <w:lvlJc w:val="left"/>
        <w:pPr>
          <w:ind w:left="1800" w:hanging="360"/>
        </w:pPr>
        <w:rPr>
          <w:rFonts w:ascii="Courier New" w:hAnsi="Courier New" w:hint="default"/>
          <w:color w:val="61939A" w:themeColor="accent3" w:themeShade="BF"/>
        </w:rPr>
      </w:lvl>
    </w:lvlOverride>
    <w:lvlOverride w:ilvl="5">
      <w:lvl w:ilvl="5">
        <w:start w:val="1"/>
        <w:numFmt w:val="bullet"/>
        <w:lvlText w:val="-"/>
        <w:lvlJc w:val="left"/>
        <w:pPr>
          <w:ind w:left="2160" w:hanging="360"/>
        </w:pPr>
        <w:rPr>
          <w:rFonts w:ascii="Courier New" w:hAnsi="Courier New" w:hint="default"/>
          <w:color w:val="61939A" w:themeColor="accent3" w:themeShade="BF"/>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8">
    <w:abstractNumId w:val="11"/>
  </w:num>
  <w:num w:numId="9">
    <w:abstractNumId w:val="30"/>
  </w:num>
  <w:num w:numId="10">
    <w:abstractNumId w:val="19"/>
  </w:num>
  <w:num w:numId="11">
    <w:abstractNumId w:val="28"/>
  </w:num>
  <w:num w:numId="12">
    <w:abstractNumId w:val="33"/>
  </w:num>
  <w:num w:numId="13">
    <w:abstractNumId w:val="21"/>
  </w:num>
  <w:num w:numId="14">
    <w:abstractNumId w:val="26"/>
  </w:num>
  <w:num w:numId="15">
    <w:abstractNumId w:val="37"/>
  </w:num>
  <w:num w:numId="16">
    <w:abstractNumId w:val="12"/>
  </w:num>
  <w:num w:numId="17">
    <w:abstractNumId w:val="24"/>
  </w:num>
  <w:num w:numId="18">
    <w:abstractNumId w:val="15"/>
  </w:num>
  <w:num w:numId="19">
    <w:abstractNumId w:val="10"/>
  </w:num>
  <w:num w:numId="20">
    <w:abstractNumId w:val="34"/>
  </w:num>
  <w:num w:numId="21">
    <w:abstractNumId w:val="22"/>
  </w:num>
  <w:num w:numId="22">
    <w:abstractNumId w:val="39"/>
  </w:num>
  <w:num w:numId="23">
    <w:abstractNumId w:val="39"/>
  </w:num>
  <w:num w:numId="24">
    <w:abstractNumId w:val="14"/>
  </w:num>
  <w:num w:numId="25">
    <w:abstractNumId w:val="27"/>
  </w:num>
  <w:num w:numId="26">
    <w:abstractNumId w:val="23"/>
  </w:num>
  <w:num w:numId="27">
    <w:abstractNumId w:val="16"/>
  </w:num>
  <w:num w:numId="28">
    <w:abstractNumId w:val="18"/>
  </w:num>
  <w:num w:numId="29">
    <w:abstractNumId w:val="35"/>
  </w:num>
  <w:num w:numId="30">
    <w:abstractNumId w:val="8"/>
  </w:num>
  <w:num w:numId="31">
    <w:abstractNumId w:val="8"/>
    <w:lvlOverride w:ilvl="0">
      <w:startOverride w:val="1"/>
    </w:lvlOverride>
  </w:num>
  <w:num w:numId="32">
    <w:abstractNumId w:val="9"/>
  </w:num>
  <w:num w:numId="33">
    <w:abstractNumId w:val="7"/>
  </w:num>
  <w:num w:numId="34">
    <w:abstractNumId w:val="6"/>
  </w:num>
  <w:num w:numId="35">
    <w:abstractNumId w:val="5"/>
  </w:num>
  <w:num w:numId="36">
    <w:abstractNumId w:val="4"/>
  </w:num>
  <w:num w:numId="37">
    <w:abstractNumId w:val="3"/>
  </w:num>
  <w:num w:numId="38">
    <w:abstractNumId w:val="2"/>
  </w:num>
  <w:num w:numId="39">
    <w:abstractNumId w:val="1"/>
  </w:num>
  <w:num w:numId="40">
    <w:abstractNumId w:val="0"/>
  </w:num>
  <w:num w:numId="41">
    <w:abstractNumId w:val="20"/>
  </w:num>
  <w:num w:numId="42">
    <w:abstractNumId w:val="38"/>
  </w:num>
  <w:num w:numId="43">
    <w:abstractNumId w:val="31"/>
  </w:num>
  <w:num w:numId="44">
    <w:abstractNumId w:val="40"/>
  </w:num>
  <w:num w:numId="4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chel Brombaugh">
    <w15:presenceInfo w15:providerId="None" w15:userId="Rachel Brombaugh"/>
  </w15:person>
  <w15:person w15:author="Andrea Martin">
    <w15:presenceInfo w15:providerId="AD" w15:userId="S-1-5-21-150586000-4232654947-2784890945-21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0E0"/>
    <w:rsid w:val="00002D99"/>
    <w:rsid w:val="00012777"/>
    <w:rsid w:val="00012CBA"/>
    <w:rsid w:val="000139EE"/>
    <w:rsid w:val="00013BDB"/>
    <w:rsid w:val="00017605"/>
    <w:rsid w:val="000277B1"/>
    <w:rsid w:val="00030EB5"/>
    <w:rsid w:val="00031287"/>
    <w:rsid w:val="000331D6"/>
    <w:rsid w:val="0003363F"/>
    <w:rsid w:val="00034223"/>
    <w:rsid w:val="00036291"/>
    <w:rsid w:val="000372DC"/>
    <w:rsid w:val="000400B3"/>
    <w:rsid w:val="00040BE2"/>
    <w:rsid w:val="00040D87"/>
    <w:rsid w:val="00042D1F"/>
    <w:rsid w:val="00043C73"/>
    <w:rsid w:val="00044115"/>
    <w:rsid w:val="00045E51"/>
    <w:rsid w:val="00047462"/>
    <w:rsid w:val="00051412"/>
    <w:rsid w:val="00056C2A"/>
    <w:rsid w:val="00060A66"/>
    <w:rsid w:val="00063B8D"/>
    <w:rsid w:val="00063EAA"/>
    <w:rsid w:val="0007146E"/>
    <w:rsid w:val="000819CC"/>
    <w:rsid w:val="00081BE5"/>
    <w:rsid w:val="0008353B"/>
    <w:rsid w:val="00092551"/>
    <w:rsid w:val="0009459D"/>
    <w:rsid w:val="000A17F5"/>
    <w:rsid w:val="000A208D"/>
    <w:rsid w:val="000B10E4"/>
    <w:rsid w:val="000B2171"/>
    <w:rsid w:val="000B2C62"/>
    <w:rsid w:val="000B37CF"/>
    <w:rsid w:val="000B5F16"/>
    <w:rsid w:val="000B5F1B"/>
    <w:rsid w:val="000C2184"/>
    <w:rsid w:val="000C3CD4"/>
    <w:rsid w:val="000D11C9"/>
    <w:rsid w:val="000D14C6"/>
    <w:rsid w:val="000D33FC"/>
    <w:rsid w:val="000D78E9"/>
    <w:rsid w:val="000E2A04"/>
    <w:rsid w:val="000E3CED"/>
    <w:rsid w:val="000E4E41"/>
    <w:rsid w:val="000E60EF"/>
    <w:rsid w:val="000E63E0"/>
    <w:rsid w:val="000E6A8B"/>
    <w:rsid w:val="000E7C82"/>
    <w:rsid w:val="000F2908"/>
    <w:rsid w:val="000F536D"/>
    <w:rsid w:val="000F5CA0"/>
    <w:rsid w:val="000F636B"/>
    <w:rsid w:val="001010E5"/>
    <w:rsid w:val="001027A0"/>
    <w:rsid w:val="001047A4"/>
    <w:rsid w:val="00104C9B"/>
    <w:rsid w:val="001052D6"/>
    <w:rsid w:val="00110790"/>
    <w:rsid w:val="00111FC0"/>
    <w:rsid w:val="0011355E"/>
    <w:rsid w:val="00114670"/>
    <w:rsid w:val="00124C92"/>
    <w:rsid w:val="00125D80"/>
    <w:rsid w:val="00126138"/>
    <w:rsid w:val="00126A20"/>
    <w:rsid w:val="00133670"/>
    <w:rsid w:val="00135527"/>
    <w:rsid w:val="0014184B"/>
    <w:rsid w:val="00143A4D"/>
    <w:rsid w:val="00143EC9"/>
    <w:rsid w:val="00145809"/>
    <w:rsid w:val="001522D3"/>
    <w:rsid w:val="001537F0"/>
    <w:rsid w:val="00155D1E"/>
    <w:rsid w:val="00164DFB"/>
    <w:rsid w:val="00164E95"/>
    <w:rsid w:val="00167E9B"/>
    <w:rsid w:val="00170553"/>
    <w:rsid w:val="001713EA"/>
    <w:rsid w:val="00171AB8"/>
    <w:rsid w:val="00171FA5"/>
    <w:rsid w:val="0017331D"/>
    <w:rsid w:val="00176D6A"/>
    <w:rsid w:val="00180CD4"/>
    <w:rsid w:val="00182434"/>
    <w:rsid w:val="00183606"/>
    <w:rsid w:val="001867D9"/>
    <w:rsid w:val="001910FC"/>
    <w:rsid w:val="00192CA8"/>
    <w:rsid w:val="00196923"/>
    <w:rsid w:val="001975E0"/>
    <w:rsid w:val="001A0E64"/>
    <w:rsid w:val="001A164E"/>
    <w:rsid w:val="001A1A97"/>
    <w:rsid w:val="001A7B65"/>
    <w:rsid w:val="001B3C84"/>
    <w:rsid w:val="001B7B24"/>
    <w:rsid w:val="001C69BE"/>
    <w:rsid w:val="001C726C"/>
    <w:rsid w:val="001C7C08"/>
    <w:rsid w:val="001D63FB"/>
    <w:rsid w:val="001F04AE"/>
    <w:rsid w:val="001F1233"/>
    <w:rsid w:val="001F3F50"/>
    <w:rsid w:val="0020184C"/>
    <w:rsid w:val="0020222B"/>
    <w:rsid w:val="00205718"/>
    <w:rsid w:val="00206F40"/>
    <w:rsid w:val="002076F0"/>
    <w:rsid w:val="00207A35"/>
    <w:rsid w:val="00210C07"/>
    <w:rsid w:val="00211280"/>
    <w:rsid w:val="002129BE"/>
    <w:rsid w:val="00212B9E"/>
    <w:rsid w:val="00214C07"/>
    <w:rsid w:val="00214FE2"/>
    <w:rsid w:val="002152DB"/>
    <w:rsid w:val="002264B1"/>
    <w:rsid w:val="002265C2"/>
    <w:rsid w:val="00226E9B"/>
    <w:rsid w:val="0022781B"/>
    <w:rsid w:val="00233021"/>
    <w:rsid w:val="0023438B"/>
    <w:rsid w:val="00235862"/>
    <w:rsid w:val="00240C74"/>
    <w:rsid w:val="00243118"/>
    <w:rsid w:val="002432E3"/>
    <w:rsid w:val="00243B61"/>
    <w:rsid w:val="002455BB"/>
    <w:rsid w:val="00245E99"/>
    <w:rsid w:val="00246E28"/>
    <w:rsid w:val="00247BF7"/>
    <w:rsid w:val="00251707"/>
    <w:rsid w:val="00252031"/>
    <w:rsid w:val="002526F4"/>
    <w:rsid w:val="002560DE"/>
    <w:rsid w:val="00256E55"/>
    <w:rsid w:val="00262E64"/>
    <w:rsid w:val="002649CC"/>
    <w:rsid w:val="0026791D"/>
    <w:rsid w:val="00270C05"/>
    <w:rsid w:val="0027463E"/>
    <w:rsid w:val="00277BBA"/>
    <w:rsid w:val="002815E4"/>
    <w:rsid w:val="002860FB"/>
    <w:rsid w:val="00292E8C"/>
    <w:rsid w:val="00293D96"/>
    <w:rsid w:val="00295DD1"/>
    <w:rsid w:val="00295FBD"/>
    <w:rsid w:val="00297D76"/>
    <w:rsid w:val="002A2156"/>
    <w:rsid w:val="002A564D"/>
    <w:rsid w:val="002A7239"/>
    <w:rsid w:val="002B0312"/>
    <w:rsid w:val="002C3691"/>
    <w:rsid w:val="002C4E9E"/>
    <w:rsid w:val="002D26A2"/>
    <w:rsid w:val="002D41B3"/>
    <w:rsid w:val="002D42E5"/>
    <w:rsid w:val="002E169E"/>
    <w:rsid w:val="002E7FBB"/>
    <w:rsid w:val="002F4F0F"/>
    <w:rsid w:val="002F6D90"/>
    <w:rsid w:val="002F76FE"/>
    <w:rsid w:val="0030065B"/>
    <w:rsid w:val="00300D76"/>
    <w:rsid w:val="003015D0"/>
    <w:rsid w:val="00301C55"/>
    <w:rsid w:val="003028E1"/>
    <w:rsid w:val="00303BB8"/>
    <w:rsid w:val="00305A50"/>
    <w:rsid w:val="00306854"/>
    <w:rsid w:val="0031086E"/>
    <w:rsid w:val="00311849"/>
    <w:rsid w:val="00312895"/>
    <w:rsid w:val="00313316"/>
    <w:rsid w:val="00313577"/>
    <w:rsid w:val="00315C45"/>
    <w:rsid w:val="00327E8B"/>
    <w:rsid w:val="003301F2"/>
    <w:rsid w:val="0033158A"/>
    <w:rsid w:val="0033568D"/>
    <w:rsid w:val="003373A5"/>
    <w:rsid w:val="003455EE"/>
    <w:rsid w:val="003478AD"/>
    <w:rsid w:val="00352238"/>
    <w:rsid w:val="00352CA3"/>
    <w:rsid w:val="0035787A"/>
    <w:rsid w:val="00360410"/>
    <w:rsid w:val="00363DF2"/>
    <w:rsid w:val="003640EA"/>
    <w:rsid w:val="00366244"/>
    <w:rsid w:val="00366507"/>
    <w:rsid w:val="0036716A"/>
    <w:rsid w:val="00367820"/>
    <w:rsid w:val="003722AE"/>
    <w:rsid w:val="003728CF"/>
    <w:rsid w:val="00381136"/>
    <w:rsid w:val="0038146C"/>
    <w:rsid w:val="00383445"/>
    <w:rsid w:val="0038425C"/>
    <w:rsid w:val="00384FFD"/>
    <w:rsid w:val="00393E10"/>
    <w:rsid w:val="003B038C"/>
    <w:rsid w:val="003B063D"/>
    <w:rsid w:val="003B2CC6"/>
    <w:rsid w:val="003B4F9D"/>
    <w:rsid w:val="003B5F68"/>
    <w:rsid w:val="003B5FE8"/>
    <w:rsid w:val="003C0B88"/>
    <w:rsid w:val="003C21E4"/>
    <w:rsid w:val="003C3FC7"/>
    <w:rsid w:val="003C7D99"/>
    <w:rsid w:val="003D230E"/>
    <w:rsid w:val="003D25A1"/>
    <w:rsid w:val="003D36D5"/>
    <w:rsid w:val="003D5095"/>
    <w:rsid w:val="003D5714"/>
    <w:rsid w:val="003D650E"/>
    <w:rsid w:val="003D6B28"/>
    <w:rsid w:val="003E3606"/>
    <w:rsid w:val="003E7DED"/>
    <w:rsid w:val="003F3960"/>
    <w:rsid w:val="003F596E"/>
    <w:rsid w:val="003F61E5"/>
    <w:rsid w:val="0040106D"/>
    <w:rsid w:val="0040248B"/>
    <w:rsid w:val="00402BF8"/>
    <w:rsid w:val="00410866"/>
    <w:rsid w:val="00410919"/>
    <w:rsid w:val="0041565F"/>
    <w:rsid w:val="00420816"/>
    <w:rsid w:val="004211A7"/>
    <w:rsid w:val="004240F0"/>
    <w:rsid w:val="00426448"/>
    <w:rsid w:val="004349C0"/>
    <w:rsid w:val="004368B2"/>
    <w:rsid w:val="004369BC"/>
    <w:rsid w:val="00437B25"/>
    <w:rsid w:val="0044112A"/>
    <w:rsid w:val="00444368"/>
    <w:rsid w:val="004471E7"/>
    <w:rsid w:val="00455455"/>
    <w:rsid w:val="00455731"/>
    <w:rsid w:val="00463DA8"/>
    <w:rsid w:val="00466FEA"/>
    <w:rsid w:val="0047082C"/>
    <w:rsid w:val="00470A78"/>
    <w:rsid w:val="00471811"/>
    <w:rsid w:val="0047316D"/>
    <w:rsid w:val="0047545D"/>
    <w:rsid w:val="004758C2"/>
    <w:rsid w:val="0048039D"/>
    <w:rsid w:val="0048237F"/>
    <w:rsid w:val="00482E25"/>
    <w:rsid w:val="0048410A"/>
    <w:rsid w:val="00491677"/>
    <w:rsid w:val="00491D8E"/>
    <w:rsid w:val="0049222B"/>
    <w:rsid w:val="00494058"/>
    <w:rsid w:val="0049799A"/>
    <w:rsid w:val="004A338F"/>
    <w:rsid w:val="004A394B"/>
    <w:rsid w:val="004A726E"/>
    <w:rsid w:val="004B4E68"/>
    <w:rsid w:val="004C5053"/>
    <w:rsid w:val="004D2851"/>
    <w:rsid w:val="004D4767"/>
    <w:rsid w:val="004D6F1B"/>
    <w:rsid w:val="004E21F9"/>
    <w:rsid w:val="004E5EAE"/>
    <w:rsid w:val="004E7E53"/>
    <w:rsid w:val="004F6663"/>
    <w:rsid w:val="00500BB8"/>
    <w:rsid w:val="005015F6"/>
    <w:rsid w:val="0050558B"/>
    <w:rsid w:val="00507B95"/>
    <w:rsid w:val="00513EB0"/>
    <w:rsid w:val="00520656"/>
    <w:rsid w:val="00524586"/>
    <w:rsid w:val="005245CA"/>
    <w:rsid w:val="00526507"/>
    <w:rsid w:val="00526B76"/>
    <w:rsid w:val="005277FA"/>
    <w:rsid w:val="005303B4"/>
    <w:rsid w:val="00531D2E"/>
    <w:rsid w:val="005334A0"/>
    <w:rsid w:val="00540AE3"/>
    <w:rsid w:val="005416C8"/>
    <w:rsid w:val="00541F35"/>
    <w:rsid w:val="005425F3"/>
    <w:rsid w:val="005442A5"/>
    <w:rsid w:val="00544DDA"/>
    <w:rsid w:val="00547AFE"/>
    <w:rsid w:val="0055054B"/>
    <w:rsid w:val="00551B42"/>
    <w:rsid w:val="00552A59"/>
    <w:rsid w:val="00555A75"/>
    <w:rsid w:val="00562398"/>
    <w:rsid w:val="005638E3"/>
    <w:rsid w:val="00567C9F"/>
    <w:rsid w:val="00584B34"/>
    <w:rsid w:val="0058602A"/>
    <w:rsid w:val="005861B9"/>
    <w:rsid w:val="005861D9"/>
    <w:rsid w:val="00586683"/>
    <w:rsid w:val="00586A00"/>
    <w:rsid w:val="005871D5"/>
    <w:rsid w:val="00590276"/>
    <w:rsid w:val="005943F0"/>
    <w:rsid w:val="005A3055"/>
    <w:rsid w:val="005A754A"/>
    <w:rsid w:val="005B30DB"/>
    <w:rsid w:val="005B4A59"/>
    <w:rsid w:val="005C1815"/>
    <w:rsid w:val="005C23EC"/>
    <w:rsid w:val="005C265C"/>
    <w:rsid w:val="005C2983"/>
    <w:rsid w:val="005D10DC"/>
    <w:rsid w:val="005D2E50"/>
    <w:rsid w:val="005D3DB6"/>
    <w:rsid w:val="005D4888"/>
    <w:rsid w:val="005E47DB"/>
    <w:rsid w:val="005F4CC2"/>
    <w:rsid w:val="00600CE6"/>
    <w:rsid w:val="00601378"/>
    <w:rsid w:val="00606C43"/>
    <w:rsid w:val="006102C1"/>
    <w:rsid w:val="00613217"/>
    <w:rsid w:val="00614E23"/>
    <w:rsid w:val="0061769F"/>
    <w:rsid w:val="00617C17"/>
    <w:rsid w:val="00621B17"/>
    <w:rsid w:val="00625045"/>
    <w:rsid w:val="00625237"/>
    <w:rsid w:val="00630141"/>
    <w:rsid w:val="006303C7"/>
    <w:rsid w:val="006308F3"/>
    <w:rsid w:val="00630BDE"/>
    <w:rsid w:val="006337D3"/>
    <w:rsid w:val="006348B4"/>
    <w:rsid w:val="00640F9A"/>
    <w:rsid w:val="00654BBB"/>
    <w:rsid w:val="0066409E"/>
    <w:rsid w:val="0066560F"/>
    <w:rsid w:val="00666CC7"/>
    <w:rsid w:val="00666ED9"/>
    <w:rsid w:val="0067631F"/>
    <w:rsid w:val="00684DF7"/>
    <w:rsid w:val="00684FB2"/>
    <w:rsid w:val="00687BB1"/>
    <w:rsid w:val="00690808"/>
    <w:rsid w:val="006920FE"/>
    <w:rsid w:val="006930E0"/>
    <w:rsid w:val="00694EE6"/>
    <w:rsid w:val="0069520B"/>
    <w:rsid w:val="006A7A26"/>
    <w:rsid w:val="006C16C8"/>
    <w:rsid w:val="006C3269"/>
    <w:rsid w:val="006C6F22"/>
    <w:rsid w:val="006D1E82"/>
    <w:rsid w:val="006D522E"/>
    <w:rsid w:val="006D73AC"/>
    <w:rsid w:val="006D7CB5"/>
    <w:rsid w:val="006E10A9"/>
    <w:rsid w:val="006E1E52"/>
    <w:rsid w:val="006E3E32"/>
    <w:rsid w:val="006E518F"/>
    <w:rsid w:val="006E6F87"/>
    <w:rsid w:val="006E7DDB"/>
    <w:rsid w:val="006F1D68"/>
    <w:rsid w:val="006F3066"/>
    <w:rsid w:val="00700671"/>
    <w:rsid w:val="00703008"/>
    <w:rsid w:val="0070343A"/>
    <w:rsid w:val="00704DD9"/>
    <w:rsid w:val="0070557F"/>
    <w:rsid w:val="007059CA"/>
    <w:rsid w:val="00712A9C"/>
    <w:rsid w:val="0071461F"/>
    <w:rsid w:val="00715BED"/>
    <w:rsid w:val="00715CC1"/>
    <w:rsid w:val="00715D95"/>
    <w:rsid w:val="00716E49"/>
    <w:rsid w:val="00720208"/>
    <w:rsid w:val="00720A6B"/>
    <w:rsid w:val="007263BB"/>
    <w:rsid w:val="007269B3"/>
    <w:rsid w:val="00727488"/>
    <w:rsid w:val="00740961"/>
    <w:rsid w:val="007444EF"/>
    <w:rsid w:val="00751DDD"/>
    <w:rsid w:val="007521E7"/>
    <w:rsid w:val="00755877"/>
    <w:rsid w:val="00755EA0"/>
    <w:rsid w:val="00756A62"/>
    <w:rsid w:val="00756B37"/>
    <w:rsid w:val="00756E68"/>
    <w:rsid w:val="00760064"/>
    <w:rsid w:val="00766066"/>
    <w:rsid w:val="00766C3E"/>
    <w:rsid w:val="00771583"/>
    <w:rsid w:val="0077619B"/>
    <w:rsid w:val="00780D9B"/>
    <w:rsid w:val="007840EA"/>
    <w:rsid w:val="00786EF6"/>
    <w:rsid w:val="00787893"/>
    <w:rsid w:val="00791F95"/>
    <w:rsid w:val="007927E5"/>
    <w:rsid w:val="0079554D"/>
    <w:rsid w:val="00796984"/>
    <w:rsid w:val="007A328F"/>
    <w:rsid w:val="007A4E5F"/>
    <w:rsid w:val="007A7DCC"/>
    <w:rsid w:val="007B74C8"/>
    <w:rsid w:val="007C0437"/>
    <w:rsid w:val="007C49F1"/>
    <w:rsid w:val="007C5DC4"/>
    <w:rsid w:val="007C7B15"/>
    <w:rsid w:val="007D3267"/>
    <w:rsid w:val="007D3751"/>
    <w:rsid w:val="007D79A5"/>
    <w:rsid w:val="007E6390"/>
    <w:rsid w:val="007F32E9"/>
    <w:rsid w:val="007F4430"/>
    <w:rsid w:val="007F6564"/>
    <w:rsid w:val="007F7B82"/>
    <w:rsid w:val="00802903"/>
    <w:rsid w:val="00802C1A"/>
    <w:rsid w:val="0080697A"/>
    <w:rsid w:val="00807833"/>
    <w:rsid w:val="0081248D"/>
    <w:rsid w:val="00815DB8"/>
    <w:rsid w:val="00817DE0"/>
    <w:rsid w:val="00821E00"/>
    <w:rsid w:val="00823E67"/>
    <w:rsid w:val="00827F19"/>
    <w:rsid w:val="0083264C"/>
    <w:rsid w:val="00833196"/>
    <w:rsid w:val="00833BF8"/>
    <w:rsid w:val="00834AE0"/>
    <w:rsid w:val="00840E3F"/>
    <w:rsid w:val="00842442"/>
    <w:rsid w:val="00843991"/>
    <w:rsid w:val="00845366"/>
    <w:rsid w:val="0085391A"/>
    <w:rsid w:val="0085473D"/>
    <w:rsid w:val="008714B4"/>
    <w:rsid w:val="00871D6D"/>
    <w:rsid w:val="0087232A"/>
    <w:rsid w:val="00883E6D"/>
    <w:rsid w:val="00885FD5"/>
    <w:rsid w:val="00886D7B"/>
    <w:rsid w:val="008872A6"/>
    <w:rsid w:val="00890211"/>
    <w:rsid w:val="00890C0C"/>
    <w:rsid w:val="00893D78"/>
    <w:rsid w:val="00894929"/>
    <w:rsid w:val="008A6D2E"/>
    <w:rsid w:val="008B7E9B"/>
    <w:rsid w:val="008C0EE0"/>
    <w:rsid w:val="008C282C"/>
    <w:rsid w:val="008C42BE"/>
    <w:rsid w:val="008C4ABD"/>
    <w:rsid w:val="008C6E79"/>
    <w:rsid w:val="008D10CB"/>
    <w:rsid w:val="008D13B9"/>
    <w:rsid w:val="008D31F2"/>
    <w:rsid w:val="008D579D"/>
    <w:rsid w:val="008E4DE4"/>
    <w:rsid w:val="008E576E"/>
    <w:rsid w:val="008E7FAB"/>
    <w:rsid w:val="008F027D"/>
    <w:rsid w:val="008F1340"/>
    <w:rsid w:val="008F158B"/>
    <w:rsid w:val="008F246D"/>
    <w:rsid w:val="008F40DD"/>
    <w:rsid w:val="008F638D"/>
    <w:rsid w:val="0090295D"/>
    <w:rsid w:val="00905B97"/>
    <w:rsid w:val="009072AA"/>
    <w:rsid w:val="00911737"/>
    <w:rsid w:val="00913484"/>
    <w:rsid w:val="00917C02"/>
    <w:rsid w:val="00920740"/>
    <w:rsid w:val="0092249A"/>
    <w:rsid w:val="009233F3"/>
    <w:rsid w:val="00923800"/>
    <w:rsid w:val="00923BBF"/>
    <w:rsid w:val="00925FA0"/>
    <w:rsid w:val="00930853"/>
    <w:rsid w:val="00932008"/>
    <w:rsid w:val="0093363D"/>
    <w:rsid w:val="00935B63"/>
    <w:rsid w:val="00936406"/>
    <w:rsid w:val="0094226F"/>
    <w:rsid w:val="009436F7"/>
    <w:rsid w:val="0094407F"/>
    <w:rsid w:val="00950758"/>
    <w:rsid w:val="00950F7F"/>
    <w:rsid w:val="00957D4A"/>
    <w:rsid w:val="0096197A"/>
    <w:rsid w:val="0096499A"/>
    <w:rsid w:val="00970E37"/>
    <w:rsid w:val="00971A30"/>
    <w:rsid w:val="00972C95"/>
    <w:rsid w:val="0097436F"/>
    <w:rsid w:val="00980DA9"/>
    <w:rsid w:val="00980FE8"/>
    <w:rsid w:val="00981688"/>
    <w:rsid w:val="00981BEB"/>
    <w:rsid w:val="00983663"/>
    <w:rsid w:val="00983BAE"/>
    <w:rsid w:val="0099758A"/>
    <w:rsid w:val="0099795E"/>
    <w:rsid w:val="009B091F"/>
    <w:rsid w:val="009B505F"/>
    <w:rsid w:val="009C04E5"/>
    <w:rsid w:val="009C1776"/>
    <w:rsid w:val="009C2055"/>
    <w:rsid w:val="009C5BCF"/>
    <w:rsid w:val="009C6BE2"/>
    <w:rsid w:val="009D6671"/>
    <w:rsid w:val="009D6FC9"/>
    <w:rsid w:val="009E27D2"/>
    <w:rsid w:val="009E31FB"/>
    <w:rsid w:val="009E44CB"/>
    <w:rsid w:val="009E6BC0"/>
    <w:rsid w:val="009F1B09"/>
    <w:rsid w:val="009F2D18"/>
    <w:rsid w:val="009F3D16"/>
    <w:rsid w:val="00A01EAF"/>
    <w:rsid w:val="00A03030"/>
    <w:rsid w:val="00A0782E"/>
    <w:rsid w:val="00A13A6A"/>
    <w:rsid w:val="00A15252"/>
    <w:rsid w:val="00A169C4"/>
    <w:rsid w:val="00A20530"/>
    <w:rsid w:val="00A208D5"/>
    <w:rsid w:val="00A21DF3"/>
    <w:rsid w:val="00A25A59"/>
    <w:rsid w:val="00A274F7"/>
    <w:rsid w:val="00A31067"/>
    <w:rsid w:val="00A36776"/>
    <w:rsid w:val="00A44E48"/>
    <w:rsid w:val="00A524B9"/>
    <w:rsid w:val="00A52C5D"/>
    <w:rsid w:val="00A57140"/>
    <w:rsid w:val="00A653B0"/>
    <w:rsid w:val="00A66299"/>
    <w:rsid w:val="00A669F0"/>
    <w:rsid w:val="00A7334A"/>
    <w:rsid w:val="00A74A2A"/>
    <w:rsid w:val="00A80253"/>
    <w:rsid w:val="00A809BA"/>
    <w:rsid w:val="00A85A54"/>
    <w:rsid w:val="00A872EE"/>
    <w:rsid w:val="00A87DC4"/>
    <w:rsid w:val="00A91C86"/>
    <w:rsid w:val="00A928DE"/>
    <w:rsid w:val="00AA3532"/>
    <w:rsid w:val="00AA4B1C"/>
    <w:rsid w:val="00AA5FF6"/>
    <w:rsid w:val="00AB405E"/>
    <w:rsid w:val="00AB499B"/>
    <w:rsid w:val="00AB4B74"/>
    <w:rsid w:val="00AB5F4D"/>
    <w:rsid w:val="00AB6A71"/>
    <w:rsid w:val="00AB721D"/>
    <w:rsid w:val="00AC0782"/>
    <w:rsid w:val="00AC2FEC"/>
    <w:rsid w:val="00AC3548"/>
    <w:rsid w:val="00AC5727"/>
    <w:rsid w:val="00AC63A5"/>
    <w:rsid w:val="00AC6834"/>
    <w:rsid w:val="00AC68E6"/>
    <w:rsid w:val="00AC7025"/>
    <w:rsid w:val="00AD4610"/>
    <w:rsid w:val="00AD5384"/>
    <w:rsid w:val="00AE071E"/>
    <w:rsid w:val="00AE502A"/>
    <w:rsid w:val="00AE6219"/>
    <w:rsid w:val="00AE770B"/>
    <w:rsid w:val="00AF08DC"/>
    <w:rsid w:val="00AF3EA2"/>
    <w:rsid w:val="00AF6DD0"/>
    <w:rsid w:val="00B0124A"/>
    <w:rsid w:val="00B049D0"/>
    <w:rsid w:val="00B05133"/>
    <w:rsid w:val="00B07048"/>
    <w:rsid w:val="00B110A1"/>
    <w:rsid w:val="00B21148"/>
    <w:rsid w:val="00B21C41"/>
    <w:rsid w:val="00B23061"/>
    <w:rsid w:val="00B24805"/>
    <w:rsid w:val="00B26D31"/>
    <w:rsid w:val="00B31C88"/>
    <w:rsid w:val="00B33B19"/>
    <w:rsid w:val="00B33B51"/>
    <w:rsid w:val="00B40F84"/>
    <w:rsid w:val="00B42B75"/>
    <w:rsid w:val="00B448ED"/>
    <w:rsid w:val="00B45C16"/>
    <w:rsid w:val="00B50670"/>
    <w:rsid w:val="00B517D1"/>
    <w:rsid w:val="00B53885"/>
    <w:rsid w:val="00B5396B"/>
    <w:rsid w:val="00B545D3"/>
    <w:rsid w:val="00B559D4"/>
    <w:rsid w:val="00B55B38"/>
    <w:rsid w:val="00B61804"/>
    <w:rsid w:val="00B621E4"/>
    <w:rsid w:val="00B6613A"/>
    <w:rsid w:val="00B70579"/>
    <w:rsid w:val="00B70CED"/>
    <w:rsid w:val="00B735E0"/>
    <w:rsid w:val="00B75DEC"/>
    <w:rsid w:val="00B83747"/>
    <w:rsid w:val="00B91AEA"/>
    <w:rsid w:val="00B922F9"/>
    <w:rsid w:val="00B954EB"/>
    <w:rsid w:val="00B96D5C"/>
    <w:rsid w:val="00B9756F"/>
    <w:rsid w:val="00BA2916"/>
    <w:rsid w:val="00BA35EF"/>
    <w:rsid w:val="00BA4445"/>
    <w:rsid w:val="00BA5D53"/>
    <w:rsid w:val="00BB0F24"/>
    <w:rsid w:val="00BB304C"/>
    <w:rsid w:val="00BB414C"/>
    <w:rsid w:val="00BB509C"/>
    <w:rsid w:val="00BC2BEE"/>
    <w:rsid w:val="00BC5A65"/>
    <w:rsid w:val="00BC633F"/>
    <w:rsid w:val="00BD0430"/>
    <w:rsid w:val="00BD3CA3"/>
    <w:rsid w:val="00BD4143"/>
    <w:rsid w:val="00BD4488"/>
    <w:rsid w:val="00BD5FBC"/>
    <w:rsid w:val="00BE1FC0"/>
    <w:rsid w:val="00BF4211"/>
    <w:rsid w:val="00BF42EB"/>
    <w:rsid w:val="00BF4730"/>
    <w:rsid w:val="00C00C95"/>
    <w:rsid w:val="00C0154D"/>
    <w:rsid w:val="00C01A9D"/>
    <w:rsid w:val="00C03781"/>
    <w:rsid w:val="00C057B9"/>
    <w:rsid w:val="00C127D3"/>
    <w:rsid w:val="00C157BA"/>
    <w:rsid w:val="00C16404"/>
    <w:rsid w:val="00C17A92"/>
    <w:rsid w:val="00C2273F"/>
    <w:rsid w:val="00C22B9C"/>
    <w:rsid w:val="00C235A0"/>
    <w:rsid w:val="00C249C2"/>
    <w:rsid w:val="00C2702D"/>
    <w:rsid w:val="00C27400"/>
    <w:rsid w:val="00C274F0"/>
    <w:rsid w:val="00C32A27"/>
    <w:rsid w:val="00C3485C"/>
    <w:rsid w:val="00C36A1D"/>
    <w:rsid w:val="00C41AE2"/>
    <w:rsid w:val="00C43768"/>
    <w:rsid w:val="00C43C0D"/>
    <w:rsid w:val="00C4651C"/>
    <w:rsid w:val="00C46C76"/>
    <w:rsid w:val="00C47450"/>
    <w:rsid w:val="00C47774"/>
    <w:rsid w:val="00C51463"/>
    <w:rsid w:val="00C51C13"/>
    <w:rsid w:val="00C51ECC"/>
    <w:rsid w:val="00C55D14"/>
    <w:rsid w:val="00C57E25"/>
    <w:rsid w:val="00C57FC4"/>
    <w:rsid w:val="00C61A86"/>
    <w:rsid w:val="00C61FC6"/>
    <w:rsid w:val="00C6214B"/>
    <w:rsid w:val="00C67415"/>
    <w:rsid w:val="00C71E64"/>
    <w:rsid w:val="00C7306D"/>
    <w:rsid w:val="00C73903"/>
    <w:rsid w:val="00C73B75"/>
    <w:rsid w:val="00C75476"/>
    <w:rsid w:val="00C805F8"/>
    <w:rsid w:val="00C8060A"/>
    <w:rsid w:val="00C8093B"/>
    <w:rsid w:val="00C8557A"/>
    <w:rsid w:val="00C94BFA"/>
    <w:rsid w:val="00CA0213"/>
    <w:rsid w:val="00CA1D5B"/>
    <w:rsid w:val="00CA1E6E"/>
    <w:rsid w:val="00CA2279"/>
    <w:rsid w:val="00CA27BB"/>
    <w:rsid w:val="00CA3509"/>
    <w:rsid w:val="00CA4EC7"/>
    <w:rsid w:val="00CA5C38"/>
    <w:rsid w:val="00CB3521"/>
    <w:rsid w:val="00CB5825"/>
    <w:rsid w:val="00CC0F15"/>
    <w:rsid w:val="00CC1E25"/>
    <w:rsid w:val="00CC2EDA"/>
    <w:rsid w:val="00CC492F"/>
    <w:rsid w:val="00CC542E"/>
    <w:rsid w:val="00CC6EFE"/>
    <w:rsid w:val="00CD1822"/>
    <w:rsid w:val="00CD1E23"/>
    <w:rsid w:val="00CD30B4"/>
    <w:rsid w:val="00CD54FC"/>
    <w:rsid w:val="00CE0457"/>
    <w:rsid w:val="00CE2AA4"/>
    <w:rsid w:val="00CE305B"/>
    <w:rsid w:val="00CF01AE"/>
    <w:rsid w:val="00CF06A4"/>
    <w:rsid w:val="00CF07FB"/>
    <w:rsid w:val="00CF0961"/>
    <w:rsid w:val="00CF2952"/>
    <w:rsid w:val="00CF2DE4"/>
    <w:rsid w:val="00CF4FBE"/>
    <w:rsid w:val="00D03572"/>
    <w:rsid w:val="00D05783"/>
    <w:rsid w:val="00D05B63"/>
    <w:rsid w:val="00D101DA"/>
    <w:rsid w:val="00D119B7"/>
    <w:rsid w:val="00D1312D"/>
    <w:rsid w:val="00D13FC4"/>
    <w:rsid w:val="00D20EEE"/>
    <w:rsid w:val="00D2239F"/>
    <w:rsid w:val="00D232E8"/>
    <w:rsid w:val="00D3047B"/>
    <w:rsid w:val="00D30D4F"/>
    <w:rsid w:val="00D31054"/>
    <w:rsid w:val="00D3198B"/>
    <w:rsid w:val="00D34138"/>
    <w:rsid w:val="00D43B4E"/>
    <w:rsid w:val="00D4494A"/>
    <w:rsid w:val="00D449EC"/>
    <w:rsid w:val="00D45961"/>
    <w:rsid w:val="00D470CB"/>
    <w:rsid w:val="00D5158C"/>
    <w:rsid w:val="00D52D6C"/>
    <w:rsid w:val="00D535D1"/>
    <w:rsid w:val="00D613B6"/>
    <w:rsid w:val="00D67A64"/>
    <w:rsid w:val="00D71322"/>
    <w:rsid w:val="00D71C66"/>
    <w:rsid w:val="00D7320D"/>
    <w:rsid w:val="00D755D4"/>
    <w:rsid w:val="00D91B72"/>
    <w:rsid w:val="00D931D3"/>
    <w:rsid w:val="00D93B53"/>
    <w:rsid w:val="00D94F82"/>
    <w:rsid w:val="00D96174"/>
    <w:rsid w:val="00D969EC"/>
    <w:rsid w:val="00DA3D59"/>
    <w:rsid w:val="00DA4B7D"/>
    <w:rsid w:val="00DA60EB"/>
    <w:rsid w:val="00DA6FB5"/>
    <w:rsid w:val="00DB3A21"/>
    <w:rsid w:val="00DB5562"/>
    <w:rsid w:val="00DC2FA6"/>
    <w:rsid w:val="00DC30F4"/>
    <w:rsid w:val="00DC7318"/>
    <w:rsid w:val="00DC7371"/>
    <w:rsid w:val="00DD0155"/>
    <w:rsid w:val="00DE240F"/>
    <w:rsid w:val="00DE3650"/>
    <w:rsid w:val="00DE4963"/>
    <w:rsid w:val="00DE6517"/>
    <w:rsid w:val="00DF0043"/>
    <w:rsid w:val="00DF1980"/>
    <w:rsid w:val="00DF1D28"/>
    <w:rsid w:val="00E02E40"/>
    <w:rsid w:val="00E04945"/>
    <w:rsid w:val="00E04C28"/>
    <w:rsid w:val="00E0730C"/>
    <w:rsid w:val="00E0734F"/>
    <w:rsid w:val="00E106A4"/>
    <w:rsid w:val="00E10AF9"/>
    <w:rsid w:val="00E10FB5"/>
    <w:rsid w:val="00E14BC4"/>
    <w:rsid w:val="00E20F97"/>
    <w:rsid w:val="00E248B3"/>
    <w:rsid w:val="00E26F29"/>
    <w:rsid w:val="00E327BE"/>
    <w:rsid w:val="00E350D8"/>
    <w:rsid w:val="00E3565E"/>
    <w:rsid w:val="00E35C28"/>
    <w:rsid w:val="00E50211"/>
    <w:rsid w:val="00E51643"/>
    <w:rsid w:val="00E526AC"/>
    <w:rsid w:val="00E53740"/>
    <w:rsid w:val="00E561FC"/>
    <w:rsid w:val="00E57C1D"/>
    <w:rsid w:val="00E61584"/>
    <w:rsid w:val="00E62228"/>
    <w:rsid w:val="00E62CA6"/>
    <w:rsid w:val="00E63324"/>
    <w:rsid w:val="00E67733"/>
    <w:rsid w:val="00E67C23"/>
    <w:rsid w:val="00E703F8"/>
    <w:rsid w:val="00E728B6"/>
    <w:rsid w:val="00E7334C"/>
    <w:rsid w:val="00E764FB"/>
    <w:rsid w:val="00E77180"/>
    <w:rsid w:val="00E77FBE"/>
    <w:rsid w:val="00E832AC"/>
    <w:rsid w:val="00E86A98"/>
    <w:rsid w:val="00E90D69"/>
    <w:rsid w:val="00E90F23"/>
    <w:rsid w:val="00E967F9"/>
    <w:rsid w:val="00EA0043"/>
    <w:rsid w:val="00EA1871"/>
    <w:rsid w:val="00EA2B08"/>
    <w:rsid w:val="00EA46A5"/>
    <w:rsid w:val="00EB0D30"/>
    <w:rsid w:val="00EB26CF"/>
    <w:rsid w:val="00EB2C4E"/>
    <w:rsid w:val="00EB5277"/>
    <w:rsid w:val="00EB56F4"/>
    <w:rsid w:val="00EB703F"/>
    <w:rsid w:val="00EC0A94"/>
    <w:rsid w:val="00EC4427"/>
    <w:rsid w:val="00EC7EF0"/>
    <w:rsid w:val="00ED04B4"/>
    <w:rsid w:val="00ED08CB"/>
    <w:rsid w:val="00ED6511"/>
    <w:rsid w:val="00ED7496"/>
    <w:rsid w:val="00EF3292"/>
    <w:rsid w:val="00EF45CF"/>
    <w:rsid w:val="00EF54B7"/>
    <w:rsid w:val="00EF618A"/>
    <w:rsid w:val="00EF7203"/>
    <w:rsid w:val="00F034CF"/>
    <w:rsid w:val="00F03537"/>
    <w:rsid w:val="00F037E8"/>
    <w:rsid w:val="00F03AF7"/>
    <w:rsid w:val="00F10879"/>
    <w:rsid w:val="00F11361"/>
    <w:rsid w:val="00F12612"/>
    <w:rsid w:val="00F1299C"/>
    <w:rsid w:val="00F1387B"/>
    <w:rsid w:val="00F13DD3"/>
    <w:rsid w:val="00F152E4"/>
    <w:rsid w:val="00F20C57"/>
    <w:rsid w:val="00F229B7"/>
    <w:rsid w:val="00F23732"/>
    <w:rsid w:val="00F23851"/>
    <w:rsid w:val="00F25F1D"/>
    <w:rsid w:val="00F34E28"/>
    <w:rsid w:val="00F3669A"/>
    <w:rsid w:val="00F437EC"/>
    <w:rsid w:val="00F45CAC"/>
    <w:rsid w:val="00F471E5"/>
    <w:rsid w:val="00F47407"/>
    <w:rsid w:val="00F52C58"/>
    <w:rsid w:val="00F52D12"/>
    <w:rsid w:val="00F543BA"/>
    <w:rsid w:val="00F57708"/>
    <w:rsid w:val="00F61FB2"/>
    <w:rsid w:val="00F638BC"/>
    <w:rsid w:val="00F66C99"/>
    <w:rsid w:val="00F70518"/>
    <w:rsid w:val="00F70BEA"/>
    <w:rsid w:val="00F75594"/>
    <w:rsid w:val="00F75758"/>
    <w:rsid w:val="00F75821"/>
    <w:rsid w:val="00F81D21"/>
    <w:rsid w:val="00F90FAE"/>
    <w:rsid w:val="00F95475"/>
    <w:rsid w:val="00F95C1F"/>
    <w:rsid w:val="00FA02FA"/>
    <w:rsid w:val="00FA0415"/>
    <w:rsid w:val="00FA0B1B"/>
    <w:rsid w:val="00FA39C1"/>
    <w:rsid w:val="00FA6980"/>
    <w:rsid w:val="00FB095C"/>
    <w:rsid w:val="00FB446F"/>
    <w:rsid w:val="00FB6889"/>
    <w:rsid w:val="00FC081C"/>
    <w:rsid w:val="00FC247E"/>
    <w:rsid w:val="00FC2861"/>
    <w:rsid w:val="00FC28C2"/>
    <w:rsid w:val="00FC43E8"/>
    <w:rsid w:val="00FC50F0"/>
    <w:rsid w:val="00FC54D0"/>
    <w:rsid w:val="00FC5C33"/>
    <w:rsid w:val="00FC6929"/>
    <w:rsid w:val="00FD1988"/>
    <w:rsid w:val="00FE34E9"/>
    <w:rsid w:val="00FE6F0B"/>
    <w:rsid w:val="00FF069C"/>
    <w:rsid w:val="00FF076C"/>
    <w:rsid w:val="00FF0FC7"/>
    <w:rsid w:val="00FF2235"/>
    <w:rsid w:val="00FF7F45"/>
    <w:rsid w:val="71956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BA6C5"/>
  <w15:docId w15:val="{38C7A1CD-670C-4259-BE57-32E4570C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43F0"/>
    <w:pPr>
      <w:spacing w:before="240" w:after="240"/>
    </w:pPr>
    <w:rPr>
      <w:sz w:val="20"/>
    </w:rPr>
  </w:style>
  <w:style w:type="paragraph" w:styleId="Heading1">
    <w:name w:val="heading 1"/>
    <w:basedOn w:val="Normal"/>
    <w:next w:val="Normal"/>
    <w:link w:val="Heading1Char"/>
    <w:uiPriority w:val="9"/>
    <w:qFormat/>
    <w:rsid w:val="00E14BC4"/>
    <w:pPr>
      <w:keepNext/>
      <w:keepLines/>
      <w:pageBreakBefore/>
      <w:outlineLvl w:val="0"/>
    </w:pPr>
    <w:rPr>
      <w:rFonts w:asciiTheme="majorHAnsi" w:eastAsiaTheme="majorEastAsia" w:hAnsiTheme="majorHAnsi" w:cstheme="majorBidi"/>
      <w:b/>
      <w:color w:val="9E5D29" w:themeColor="accent5" w:themeShade="BF"/>
      <w:spacing w:val="8"/>
      <w:sz w:val="40"/>
      <w:szCs w:val="40"/>
    </w:rPr>
  </w:style>
  <w:style w:type="paragraph" w:styleId="Heading2">
    <w:name w:val="heading 2"/>
    <w:basedOn w:val="Normal"/>
    <w:next w:val="Normal"/>
    <w:link w:val="Heading2Char"/>
    <w:uiPriority w:val="9"/>
    <w:unhideWhenUsed/>
    <w:qFormat/>
    <w:rsid w:val="00E14BC4"/>
    <w:pPr>
      <w:keepNext/>
      <w:keepLines/>
      <w:spacing w:after="160"/>
      <w:outlineLvl w:val="1"/>
    </w:pPr>
    <w:rPr>
      <w:b/>
      <w:color w:val="416267" w:themeColor="accent3" w:themeShade="80"/>
      <w:spacing w:val="8"/>
      <w:sz w:val="32"/>
      <w:szCs w:val="32"/>
    </w:rPr>
  </w:style>
  <w:style w:type="paragraph" w:styleId="Heading3">
    <w:name w:val="heading 3"/>
    <w:basedOn w:val="Normal"/>
    <w:next w:val="Normal"/>
    <w:link w:val="Heading3Char"/>
    <w:uiPriority w:val="9"/>
    <w:unhideWhenUsed/>
    <w:qFormat/>
    <w:rsid w:val="00E14BC4"/>
    <w:pPr>
      <w:keepNext/>
      <w:keepLines/>
      <w:spacing w:after="160"/>
      <w:outlineLvl w:val="2"/>
    </w:pPr>
    <w:rPr>
      <w:b/>
      <w:caps/>
      <w:color w:val="9E5D29" w:themeColor="accent5" w:themeShade="BF"/>
      <w:spacing w:val="8"/>
    </w:rPr>
  </w:style>
  <w:style w:type="paragraph" w:styleId="Heading4">
    <w:name w:val="heading 4"/>
    <w:basedOn w:val="Normal"/>
    <w:next w:val="Normal"/>
    <w:link w:val="Heading4Char"/>
    <w:uiPriority w:val="9"/>
    <w:unhideWhenUsed/>
    <w:qFormat/>
    <w:rsid w:val="00AB405E"/>
    <w:pPr>
      <w:keepNext/>
      <w:keepLines/>
      <w:spacing w:after="160"/>
      <w:outlineLvl w:val="3"/>
    </w:pPr>
    <w:rPr>
      <w:b/>
      <w:spacing w:val="8"/>
      <w:sz w:val="23"/>
      <w:szCs w:val="23"/>
    </w:rPr>
  </w:style>
  <w:style w:type="paragraph" w:styleId="Heading5">
    <w:name w:val="heading 5"/>
    <w:basedOn w:val="Normal"/>
    <w:next w:val="Normal"/>
    <w:link w:val="Heading5Char"/>
    <w:uiPriority w:val="9"/>
    <w:unhideWhenUsed/>
    <w:qFormat/>
    <w:rsid w:val="00AB405E"/>
    <w:pPr>
      <w:keepNext/>
      <w:keepLines/>
      <w:spacing w:after="160"/>
      <w:outlineLvl w:val="4"/>
    </w:pPr>
    <w:rPr>
      <w:i/>
    </w:rPr>
  </w:style>
  <w:style w:type="paragraph" w:styleId="Heading6">
    <w:name w:val="heading 6"/>
    <w:basedOn w:val="Normal"/>
    <w:next w:val="Normal"/>
    <w:link w:val="Heading6Char"/>
    <w:uiPriority w:val="9"/>
    <w:unhideWhenUsed/>
    <w:qFormat/>
    <w:rsid w:val="00E14BC4"/>
    <w:pPr>
      <w:keepNext/>
      <w:keepLines/>
      <w:spacing w:after="160"/>
      <w:outlineLvl w:val="5"/>
    </w:pPr>
    <w:rPr>
      <w:i/>
      <w:color w:val="9E5D29" w:themeColor="accent5" w:themeShade="BF"/>
      <w:sz w:val="21"/>
      <w:szCs w:val="21"/>
    </w:rPr>
  </w:style>
  <w:style w:type="paragraph" w:styleId="Heading7">
    <w:name w:val="heading 7"/>
    <w:basedOn w:val="Normal"/>
    <w:next w:val="Normal"/>
    <w:link w:val="Heading7Char"/>
    <w:uiPriority w:val="9"/>
    <w:semiHidden/>
    <w:unhideWhenUsed/>
    <w:qFormat/>
    <w:rsid w:val="00AB405E"/>
    <w:pPr>
      <w:keepNext/>
      <w:keepLines/>
      <w:spacing w:before="40" w:after="0"/>
      <w:outlineLvl w:val="6"/>
    </w:pPr>
    <w:rPr>
      <w:rFonts w:asciiTheme="majorHAnsi" w:eastAsiaTheme="majorEastAsia" w:hAnsiTheme="majorHAnsi" w:cstheme="majorBidi"/>
      <w:i/>
      <w:iCs/>
      <w:color w:val="4F4937" w:themeColor="accent1" w:themeShade="7F"/>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05E"/>
    <w:pPr>
      <w:tabs>
        <w:tab w:val="center" w:pos="4680"/>
        <w:tab w:val="right" w:pos="9360"/>
      </w:tabs>
      <w:spacing w:line="240" w:lineRule="auto"/>
      <w:jc w:val="right"/>
    </w:pPr>
    <w:rPr>
      <w:color w:val="FFFFFF" w:themeColor="background1"/>
      <w:spacing w:val="12"/>
      <w:szCs w:val="20"/>
    </w:rPr>
  </w:style>
  <w:style w:type="character" w:customStyle="1" w:styleId="HeaderChar">
    <w:name w:val="Header Char"/>
    <w:basedOn w:val="DefaultParagraphFont"/>
    <w:link w:val="Header"/>
    <w:uiPriority w:val="99"/>
    <w:rsid w:val="00AB405E"/>
    <w:rPr>
      <w:color w:val="FFFFFF" w:themeColor="background1"/>
      <w:spacing w:val="12"/>
      <w:sz w:val="20"/>
      <w:szCs w:val="20"/>
    </w:rPr>
  </w:style>
  <w:style w:type="paragraph" w:styleId="Footer">
    <w:name w:val="footer"/>
    <w:basedOn w:val="Normal"/>
    <w:link w:val="FooterChar"/>
    <w:uiPriority w:val="99"/>
    <w:unhideWhenUsed/>
    <w:rsid w:val="001A0E64"/>
    <w:pPr>
      <w:tabs>
        <w:tab w:val="center" w:pos="4680"/>
        <w:tab w:val="right" w:pos="9360"/>
      </w:tabs>
      <w:spacing w:before="600" w:after="0" w:line="240" w:lineRule="auto"/>
      <w:jc w:val="right"/>
    </w:pPr>
    <w:rPr>
      <w:noProof/>
      <w:color w:val="FFFFFF" w:themeColor="background1"/>
      <w:spacing w:val="8"/>
      <w:sz w:val="18"/>
      <w:szCs w:val="18"/>
    </w:rPr>
  </w:style>
  <w:style w:type="character" w:customStyle="1" w:styleId="FooterChar">
    <w:name w:val="Footer Char"/>
    <w:basedOn w:val="DefaultParagraphFont"/>
    <w:link w:val="Footer"/>
    <w:uiPriority w:val="99"/>
    <w:rsid w:val="001A0E64"/>
    <w:rPr>
      <w:noProof/>
      <w:color w:val="FFFFFF" w:themeColor="background1"/>
      <w:spacing w:val="8"/>
      <w:sz w:val="18"/>
      <w:szCs w:val="18"/>
    </w:rPr>
  </w:style>
  <w:style w:type="character" w:customStyle="1" w:styleId="Heading1Char">
    <w:name w:val="Heading 1 Char"/>
    <w:basedOn w:val="DefaultParagraphFont"/>
    <w:link w:val="Heading1"/>
    <w:uiPriority w:val="9"/>
    <w:rsid w:val="00E14BC4"/>
    <w:rPr>
      <w:rFonts w:asciiTheme="majorHAnsi" w:eastAsiaTheme="majorEastAsia" w:hAnsiTheme="majorHAnsi" w:cstheme="majorBidi"/>
      <w:b/>
      <w:color w:val="9E5D29" w:themeColor="accent5" w:themeShade="BF"/>
      <w:spacing w:val="8"/>
      <w:sz w:val="40"/>
      <w:szCs w:val="40"/>
    </w:rPr>
  </w:style>
  <w:style w:type="paragraph" w:styleId="Title">
    <w:name w:val="Title"/>
    <w:basedOn w:val="Normal"/>
    <w:next w:val="Normal"/>
    <w:link w:val="TitleChar"/>
    <w:uiPriority w:val="10"/>
    <w:qFormat/>
    <w:rsid w:val="008D10CB"/>
    <w:pPr>
      <w:keepNext/>
      <w:keepLines/>
      <w:spacing w:before="4800" w:after="0" w:line="240" w:lineRule="auto"/>
      <w:contextualSpacing/>
    </w:pPr>
    <w:rPr>
      <w:rFonts w:asciiTheme="majorHAnsi" w:eastAsiaTheme="majorEastAsia" w:hAnsiTheme="majorHAnsi" w:cstheme="majorBidi"/>
      <w:b/>
      <w:color w:val="FFFFFF" w:themeColor="background1"/>
      <w:spacing w:val="8"/>
      <w:kern w:val="28"/>
      <w:sz w:val="56"/>
      <w:szCs w:val="56"/>
    </w:rPr>
  </w:style>
  <w:style w:type="character" w:customStyle="1" w:styleId="TitleChar">
    <w:name w:val="Title Char"/>
    <w:basedOn w:val="DefaultParagraphFont"/>
    <w:link w:val="Title"/>
    <w:uiPriority w:val="10"/>
    <w:rsid w:val="008D10CB"/>
    <w:rPr>
      <w:rFonts w:asciiTheme="majorHAnsi" w:eastAsiaTheme="majorEastAsia" w:hAnsiTheme="majorHAnsi" w:cstheme="majorBidi"/>
      <w:b/>
      <w:color w:val="FFFFFF" w:themeColor="background1"/>
      <w:spacing w:val="8"/>
      <w:kern w:val="28"/>
      <w:sz w:val="56"/>
      <w:szCs w:val="56"/>
    </w:rPr>
  </w:style>
  <w:style w:type="character" w:customStyle="1" w:styleId="Heading2Char">
    <w:name w:val="Heading 2 Char"/>
    <w:basedOn w:val="DefaultParagraphFont"/>
    <w:link w:val="Heading2"/>
    <w:uiPriority w:val="9"/>
    <w:rsid w:val="00E14BC4"/>
    <w:rPr>
      <w:b/>
      <w:color w:val="416267" w:themeColor="accent3" w:themeShade="80"/>
      <w:spacing w:val="8"/>
      <w:sz w:val="32"/>
      <w:szCs w:val="32"/>
    </w:rPr>
  </w:style>
  <w:style w:type="character" w:customStyle="1" w:styleId="Heading3Char">
    <w:name w:val="Heading 3 Char"/>
    <w:basedOn w:val="DefaultParagraphFont"/>
    <w:link w:val="Heading3"/>
    <w:uiPriority w:val="9"/>
    <w:rsid w:val="00E14BC4"/>
    <w:rPr>
      <w:b/>
      <w:caps/>
      <w:color w:val="9E5D29" w:themeColor="accent5" w:themeShade="BF"/>
      <w:spacing w:val="8"/>
    </w:rPr>
  </w:style>
  <w:style w:type="character" w:customStyle="1" w:styleId="Heading4Char">
    <w:name w:val="Heading 4 Char"/>
    <w:basedOn w:val="DefaultParagraphFont"/>
    <w:link w:val="Heading4"/>
    <w:uiPriority w:val="9"/>
    <w:rsid w:val="00AB405E"/>
    <w:rPr>
      <w:b/>
      <w:spacing w:val="8"/>
      <w:sz w:val="23"/>
      <w:szCs w:val="23"/>
    </w:rPr>
  </w:style>
  <w:style w:type="character" w:customStyle="1" w:styleId="Heading5Char">
    <w:name w:val="Heading 5 Char"/>
    <w:basedOn w:val="DefaultParagraphFont"/>
    <w:link w:val="Heading5"/>
    <w:uiPriority w:val="9"/>
    <w:rsid w:val="00AB405E"/>
    <w:rPr>
      <w:i/>
    </w:rPr>
  </w:style>
  <w:style w:type="character" w:customStyle="1" w:styleId="Heading6Char">
    <w:name w:val="Heading 6 Char"/>
    <w:basedOn w:val="DefaultParagraphFont"/>
    <w:link w:val="Heading6"/>
    <w:uiPriority w:val="9"/>
    <w:rsid w:val="00E14BC4"/>
    <w:rPr>
      <w:i/>
      <w:color w:val="9E5D29" w:themeColor="accent5" w:themeShade="BF"/>
      <w:sz w:val="21"/>
      <w:szCs w:val="21"/>
    </w:rPr>
  </w:style>
  <w:style w:type="paragraph" w:styleId="ListParagraph">
    <w:name w:val="List Paragraph"/>
    <w:basedOn w:val="Normal"/>
    <w:uiPriority w:val="34"/>
    <w:qFormat/>
    <w:rsid w:val="00C8093B"/>
    <w:pPr>
      <w:ind w:left="1440" w:hanging="360"/>
      <w:contextualSpacing/>
    </w:pPr>
  </w:style>
  <w:style w:type="numbering" w:customStyle="1" w:styleId="Style1">
    <w:name w:val="Style1"/>
    <w:uiPriority w:val="99"/>
    <w:rsid w:val="005871D5"/>
    <w:pPr>
      <w:numPr>
        <w:numId w:val="2"/>
      </w:numPr>
    </w:pPr>
  </w:style>
  <w:style w:type="numbering" w:customStyle="1" w:styleId="Style2">
    <w:name w:val="Style2"/>
    <w:uiPriority w:val="99"/>
    <w:rsid w:val="001027A0"/>
    <w:pPr>
      <w:numPr>
        <w:numId w:val="4"/>
      </w:numPr>
    </w:pPr>
  </w:style>
  <w:style w:type="table" w:styleId="TableGrid">
    <w:name w:val="Table Grid"/>
    <w:basedOn w:val="TableNormal"/>
    <w:rsid w:val="00102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786EF6"/>
    <w:pPr>
      <w:keepNext/>
      <w:spacing w:after="0" w:line="240" w:lineRule="auto"/>
      <w:contextualSpacing/>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E9F0F1" w:themeFill="accent3" w:themeFillTint="33"/>
      </w:tcPr>
    </w:tblStylePr>
    <w:tblStylePr w:type="band1Horz">
      <w:tblPr/>
      <w:tcPr>
        <w:shd w:val="clear" w:color="auto" w:fill="E9F0F1" w:themeFill="accent3" w:themeFillTint="33"/>
      </w:tcPr>
    </w:tblStylePr>
    <w:tblStylePr w:type="band2Horz">
      <w:tblPr/>
      <w:tcPr>
        <w:shd w:val="clear" w:color="auto" w:fill="FFFFFF" w:themeFill="background1"/>
      </w:tcPr>
    </w:tblStylePr>
  </w:style>
  <w:style w:type="paragraph" w:styleId="Caption">
    <w:name w:val="caption"/>
    <w:basedOn w:val="Normal"/>
    <w:next w:val="Normal"/>
    <w:uiPriority w:val="35"/>
    <w:unhideWhenUsed/>
    <w:qFormat/>
    <w:rsid w:val="00C47774"/>
    <w:pPr>
      <w:keepNext/>
      <w:spacing w:before="200" w:after="0" w:line="240" w:lineRule="auto"/>
    </w:pPr>
    <w:rPr>
      <w:b/>
      <w:iCs/>
      <w:sz w:val="18"/>
      <w:szCs w:val="18"/>
    </w:rPr>
  </w:style>
  <w:style w:type="paragraph" w:customStyle="1" w:styleId="Textafter">
    <w:name w:val="Text_after"/>
    <w:basedOn w:val="Normal"/>
    <w:link w:val="TextafterChar"/>
    <w:qFormat/>
    <w:rsid w:val="001027A0"/>
    <w:pPr>
      <w:spacing w:before="280"/>
    </w:pPr>
  </w:style>
  <w:style w:type="paragraph" w:styleId="Subtitle">
    <w:name w:val="Subtitle"/>
    <w:basedOn w:val="Normal"/>
    <w:next w:val="Normal"/>
    <w:link w:val="SubtitleChar"/>
    <w:uiPriority w:val="11"/>
    <w:qFormat/>
    <w:rsid w:val="008D10CB"/>
    <w:pPr>
      <w:keepNext/>
      <w:numPr>
        <w:ilvl w:val="1"/>
      </w:numPr>
      <w:spacing w:after="160"/>
      <w:ind w:left="216"/>
    </w:pPr>
    <w:rPr>
      <w:rFonts w:eastAsiaTheme="minorEastAsia"/>
      <w:color w:val="FFFFFF" w:themeColor="background1"/>
      <w:spacing w:val="15"/>
      <w:sz w:val="28"/>
      <w:szCs w:val="28"/>
    </w:rPr>
  </w:style>
  <w:style w:type="character" w:customStyle="1" w:styleId="TextafterChar">
    <w:name w:val="Text_after Char"/>
    <w:basedOn w:val="DefaultParagraphFont"/>
    <w:link w:val="Textafter"/>
    <w:rsid w:val="001027A0"/>
  </w:style>
  <w:style w:type="character" w:customStyle="1" w:styleId="SubtitleChar">
    <w:name w:val="Subtitle Char"/>
    <w:basedOn w:val="DefaultParagraphFont"/>
    <w:link w:val="Subtitle"/>
    <w:uiPriority w:val="11"/>
    <w:rsid w:val="008D10CB"/>
    <w:rPr>
      <w:rFonts w:eastAsiaTheme="minorEastAsia"/>
      <w:color w:val="FFFFFF" w:themeColor="background1"/>
      <w:spacing w:val="15"/>
      <w:sz w:val="28"/>
      <w:szCs w:val="28"/>
    </w:rPr>
  </w:style>
  <w:style w:type="paragraph" w:customStyle="1" w:styleId="HeaderShaded">
    <w:name w:val="Header Shaded"/>
    <w:basedOn w:val="Normal"/>
    <w:uiPriority w:val="99"/>
    <w:qFormat/>
    <w:rsid w:val="0026791D"/>
    <w:pPr>
      <w:spacing w:after="40" w:line="240" w:lineRule="auto"/>
      <w:jc w:val="right"/>
    </w:pPr>
    <w:rPr>
      <w:rFonts w:asciiTheme="majorHAnsi" w:eastAsiaTheme="majorEastAsia" w:hAnsiTheme="majorHAnsi" w:cstheme="majorBidi"/>
      <w:b/>
      <w:caps/>
      <w:noProof/>
      <w:color w:val="FFFFFF" w:themeColor="background1"/>
      <w:spacing w:val="12"/>
      <w:kern w:val="20"/>
      <w:sz w:val="24"/>
      <w:szCs w:val="24"/>
      <w:lang w:eastAsia="ja-JP"/>
    </w:rPr>
  </w:style>
  <w:style w:type="character" w:customStyle="1" w:styleId="Heading7Char">
    <w:name w:val="Heading 7 Char"/>
    <w:basedOn w:val="DefaultParagraphFont"/>
    <w:link w:val="Heading7"/>
    <w:uiPriority w:val="9"/>
    <w:semiHidden/>
    <w:rsid w:val="00AB405E"/>
    <w:rPr>
      <w:rFonts w:asciiTheme="majorHAnsi" w:eastAsiaTheme="majorEastAsia" w:hAnsiTheme="majorHAnsi" w:cstheme="majorBidi"/>
      <w:i/>
      <w:iCs/>
      <w:color w:val="4F4937" w:themeColor="accent1" w:themeShade="7F"/>
      <w:sz w:val="21"/>
    </w:rPr>
  </w:style>
  <w:style w:type="paragraph" w:customStyle="1" w:styleId="Heading1TitlePage">
    <w:name w:val="Heading 1_TitlePage"/>
    <w:basedOn w:val="Heading1"/>
    <w:link w:val="Heading1TitlePageChar"/>
    <w:qFormat/>
    <w:rsid w:val="00AB405E"/>
    <w:pPr>
      <w:pageBreakBefore w:val="0"/>
    </w:pPr>
    <w:rPr>
      <w:color w:val="61939A" w:themeColor="accent3" w:themeShade="BF"/>
    </w:rPr>
  </w:style>
  <w:style w:type="paragraph" w:styleId="NoSpacing">
    <w:name w:val="No Spacing"/>
    <w:uiPriority w:val="1"/>
    <w:qFormat/>
    <w:rsid w:val="0026791D"/>
    <w:pPr>
      <w:spacing w:before="240" w:after="0"/>
    </w:pPr>
  </w:style>
  <w:style w:type="character" w:customStyle="1" w:styleId="Heading1TitlePageChar">
    <w:name w:val="Heading 1_TitlePage Char"/>
    <w:basedOn w:val="Heading1Char"/>
    <w:link w:val="Heading1TitlePage"/>
    <w:rsid w:val="00AB405E"/>
    <w:rPr>
      <w:rFonts w:asciiTheme="majorHAnsi" w:eastAsiaTheme="majorEastAsia" w:hAnsiTheme="majorHAnsi" w:cstheme="majorBidi"/>
      <w:b/>
      <w:color w:val="CD7E3E" w:themeColor="accent5"/>
      <w:spacing w:val="8"/>
      <w:sz w:val="40"/>
      <w:szCs w:val="40"/>
    </w:rPr>
  </w:style>
  <w:style w:type="paragraph" w:styleId="TOC1">
    <w:name w:val="toc 1"/>
    <w:basedOn w:val="Normal"/>
    <w:next w:val="Normal"/>
    <w:autoRedefine/>
    <w:uiPriority w:val="39"/>
    <w:unhideWhenUsed/>
    <w:rsid w:val="008D10CB"/>
    <w:pPr>
      <w:spacing w:after="100"/>
    </w:pPr>
  </w:style>
  <w:style w:type="paragraph" w:styleId="TOC2">
    <w:name w:val="toc 2"/>
    <w:basedOn w:val="Normal"/>
    <w:next w:val="Normal"/>
    <w:autoRedefine/>
    <w:uiPriority w:val="39"/>
    <w:unhideWhenUsed/>
    <w:rsid w:val="008D10CB"/>
    <w:pPr>
      <w:spacing w:after="100"/>
      <w:ind w:left="220"/>
    </w:pPr>
  </w:style>
  <w:style w:type="paragraph" w:styleId="TOC3">
    <w:name w:val="toc 3"/>
    <w:basedOn w:val="Normal"/>
    <w:next w:val="Normal"/>
    <w:autoRedefine/>
    <w:uiPriority w:val="39"/>
    <w:unhideWhenUsed/>
    <w:rsid w:val="008D10CB"/>
    <w:pPr>
      <w:spacing w:after="100"/>
      <w:ind w:left="440"/>
    </w:pPr>
  </w:style>
  <w:style w:type="paragraph" w:styleId="TOC4">
    <w:name w:val="toc 4"/>
    <w:basedOn w:val="Normal"/>
    <w:next w:val="Normal"/>
    <w:autoRedefine/>
    <w:uiPriority w:val="39"/>
    <w:unhideWhenUsed/>
    <w:rsid w:val="008D10CB"/>
    <w:pPr>
      <w:spacing w:after="100"/>
      <w:ind w:left="660"/>
    </w:pPr>
  </w:style>
  <w:style w:type="paragraph" w:styleId="TOC5">
    <w:name w:val="toc 5"/>
    <w:basedOn w:val="Normal"/>
    <w:next w:val="Normal"/>
    <w:autoRedefine/>
    <w:uiPriority w:val="39"/>
    <w:unhideWhenUsed/>
    <w:rsid w:val="008D10CB"/>
    <w:pPr>
      <w:spacing w:after="100"/>
      <w:ind w:left="880"/>
    </w:pPr>
  </w:style>
  <w:style w:type="paragraph" w:styleId="TOC6">
    <w:name w:val="toc 6"/>
    <w:basedOn w:val="Normal"/>
    <w:next w:val="Normal"/>
    <w:autoRedefine/>
    <w:uiPriority w:val="39"/>
    <w:unhideWhenUsed/>
    <w:rsid w:val="008D10CB"/>
    <w:pPr>
      <w:spacing w:after="100"/>
      <w:ind w:left="1100"/>
    </w:pPr>
  </w:style>
  <w:style w:type="character" w:styleId="CommentReference">
    <w:name w:val="annotation reference"/>
    <w:basedOn w:val="DefaultParagraphFont"/>
    <w:uiPriority w:val="99"/>
    <w:semiHidden/>
    <w:unhideWhenUsed/>
    <w:rsid w:val="00DF1D28"/>
    <w:rPr>
      <w:sz w:val="16"/>
      <w:szCs w:val="16"/>
    </w:rPr>
  </w:style>
  <w:style w:type="paragraph" w:styleId="CommentText">
    <w:name w:val="annotation text"/>
    <w:basedOn w:val="Normal"/>
    <w:link w:val="CommentTextChar"/>
    <w:uiPriority w:val="99"/>
    <w:semiHidden/>
    <w:unhideWhenUsed/>
    <w:rsid w:val="00DF1D28"/>
    <w:pPr>
      <w:spacing w:line="240" w:lineRule="auto"/>
    </w:pPr>
    <w:rPr>
      <w:szCs w:val="20"/>
    </w:rPr>
  </w:style>
  <w:style w:type="character" w:customStyle="1" w:styleId="CommentTextChar">
    <w:name w:val="Comment Text Char"/>
    <w:basedOn w:val="DefaultParagraphFont"/>
    <w:link w:val="CommentText"/>
    <w:uiPriority w:val="99"/>
    <w:semiHidden/>
    <w:rsid w:val="00DF1D28"/>
    <w:rPr>
      <w:sz w:val="20"/>
      <w:szCs w:val="20"/>
    </w:rPr>
  </w:style>
  <w:style w:type="paragraph" w:styleId="CommentSubject">
    <w:name w:val="annotation subject"/>
    <w:basedOn w:val="CommentText"/>
    <w:next w:val="CommentText"/>
    <w:link w:val="CommentSubjectChar"/>
    <w:uiPriority w:val="99"/>
    <w:semiHidden/>
    <w:unhideWhenUsed/>
    <w:rsid w:val="00DF1D28"/>
    <w:rPr>
      <w:b/>
      <w:bCs/>
    </w:rPr>
  </w:style>
  <w:style w:type="character" w:customStyle="1" w:styleId="CommentSubjectChar">
    <w:name w:val="Comment Subject Char"/>
    <w:basedOn w:val="CommentTextChar"/>
    <w:link w:val="CommentSubject"/>
    <w:uiPriority w:val="99"/>
    <w:semiHidden/>
    <w:rsid w:val="00DF1D28"/>
    <w:rPr>
      <w:b/>
      <w:bCs/>
      <w:sz w:val="20"/>
      <w:szCs w:val="20"/>
    </w:rPr>
  </w:style>
  <w:style w:type="paragraph" w:styleId="BalloonText">
    <w:name w:val="Balloon Text"/>
    <w:basedOn w:val="Normal"/>
    <w:link w:val="BalloonTextChar"/>
    <w:uiPriority w:val="99"/>
    <w:semiHidden/>
    <w:unhideWhenUsed/>
    <w:rsid w:val="00DF1D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D28"/>
    <w:rPr>
      <w:rFonts w:ascii="Segoe UI" w:hAnsi="Segoe UI" w:cs="Segoe UI"/>
      <w:sz w:val="18"/>
      <w:szCs w:val="18"/>
    </w:rPr>
  </w:style>
  <w:style w:type="paragraph" w:styleId="Revision">
    <w:name w:val="Revision"/>
    <w:hidden/>
    <w:uiPriority w:val="99"/>
    <w:semiHidden/>
    <w:rsid w:val="00B05133"/>
    <w:pPr>
      <w:spacing w:after="0" w:line="240" w:lineRule="auto"/>
    </w:pPr>
  </w:style>
  <w:style w:type="paragraph" w:styleId="Bibliography">
    <w:name w:val="Bibliography"/>
    <w:basedOn w:val="Normal"/>
    <w:next w:val="Normal"/>
    <w:uiPriority w:val="37"/>
    <w:unhideWhenUsed/>
    <w:rsid w:val="00C47774"/>
  </w:style>
  <w:style w:type="character" w:styleId="Hyperlink">
    <w:name w:val="Hyperlink"/>
    <w:basedOn w:val="DefaultParagraphFont"/>
    <w:uiPriority w:val="99"/>
    <w:unhideWhenUsed/>
    <w:rsid w:val="0090295D"/>
    <w:rPr>
      <w:color w:val="5E695E" w:themeColor="hyperlink"/>
      <w:u w:val="single"/>
    </w:rPr>
  </w:style>
  <w:style w:type="paragraph" w:styleId="FootnoteText">
    <w:name w:val="footnote text"/>
    <w:basedOn w:val="Normal"/>
    <w:link w:val="FootnoteTextChar"/>
    <w:uiPriority w:val="99"/>
    <w:semiHidden/>
    <w:unhideWhenUsed/>
    <w:rsid w:val="00981BE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981BEB"/>
    <w:rPr>
      <w:sz w:val="20"/>
      <w:szCs w:val="20"/>
    </w:rPr>
  </w:style>
  <w:style w:type="character" w:styleId="FootnoteReference">
    <w:name w:val="footnote reference"/>
    <w:basedOn w:val="DefaultParagraphFont"/>
    <w:uiPriority w:val="99"/>
    <w:semiHidden/>
    <w:unhideWhenUsed/>
    <w:rsid w:val="00981BEB"/>
    <w:rPr>
      <w:vertAlign w:val="superscript"/>
    </w:rPr>
  </w:style>
  <w:style w:type="table" w:customStyle="1" w:styleId="ListTable3-Accent31">
    <w:name w:val="List Table 3 - Accent 31"/>
    <w:basedOn w:val="TableNormal"/>
    <w:uiPriority w:val="48"/>
    <w:rsid w:val="002D26A2"/>
    <w:pPr>
      <w:spacing w:after="0" w:line="240" w:lineRule="auto"/>
    </w:pPr>
    <w:tblPr>
      <w:tblStyleRowBandSize w:val="1"/>
      <w:tblStyleColBandSize w:val="1"/>
      <w:tblBorders>
        <w:top w:val="single" w:sz="4" w:space="0" w:color="94B7BC" w:themeColor="accent3"/>
        <w:left w:val="single" w:sz="4" w:space="0" w:color="94B7BC" w:themeColor="accent3"/>
        <w:bottom w:val="single" w:sz="4" w:space="0" w:color="94B7BC" w:themeColor="accent3"/>
        <w:right w:val="single" w:sz="4" w:space="0" w:color="94B7BC" w:themeColor="accent3"/>
      </w:tblBorders>
    </w:tblPr>
    <w:tblStylePr w:type="firstRow">
      <w:rPr>
        <w:b/>
        <w:bCs/>
        <w:color w:val="FFFFFF" w:themeColor="background1"/>
      </w:rPr>
      <w:tblPr/>
      <w:tcPr>
        <w:shd w:val="clear" w:color="auto" w:fill="94B7BC" w:themeFill="accent3"/>
      </w:tcPr>
    </w:tblStylePr>
    <w:tblStylePr w:type="lastRow">
      <w:rPr>
        <w:b/>
        <w:bCs/>
      </w:rPr>
      <w:tblPr/>
      <w:tcPr>
        <w:tcBorders>
          <w:top w:val="double" w:sz="4" w:space="0" w:color="94B7B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7BC" w:themeColor="accent3"/>
          <w:right w:val="single" w:sz="4" w:space="0" w:color="94B7BC" w:themeColor="accent3"/>
        </w:tcBorders>
      </w:tcPr>
    </w:tblStylePr>
    <w:tblStylePr w:type="band1Horz">
      <w:tblPr/>
      <w:tcPr>
        <w:tcBorders>
          <w:top w:val="single" w:sz="4" w:space="0" w:color="94B7BC" w:themeColor="accent3"/>
          <w:bottom w:val="single" w:sz="4" w:space="0" w:color="94B7B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7BC" w:themeColor="accent3"/>
          <w:left w:val="nil"/>
        </w:tcBorders>
      </w:tcPr>
    </w:tblStylePr>
    <w:tblStylePr w:type="swCell">
      <w:tblPr/>
      <w:tcPr>
        <w:tcBorders>
          <w:top w:val="double" w:sz="4" w:space="0" w:color="94B7BC" w:themeColor="accent3"/>
          <w:right w:val="nil"/>
        </w:tcBorders>
      </w:tcPr>
    </w:tblStylePr>
  </w:style>
  <w:style w:type="paragraph" w:styleId="BodyText">
    <w:name w:val="Body Text"/>
    <w:basedOn w:val="Normal"/>
    <w:link w:val="BodyTextChar"/>
    <w:uiPriority w:val="99"/>
    <w:unhideWhenUsed/>
    <w:qFormat/>
    <w:rsid w:val="00B049D0"/>
    <w:pPr>
      <w:spacing w:after="0" w:line="252" w:lineRule="auto"/>
    </w:pPr>
    <w:rPr>
      <w:sz w:val="24"/>
    </w:rPr>
  </w:style>
  <w:style w:type="character" w:customStyle="1" w:styleId="BodyTextChar">
    <w:name w:val="Body Text Char"/>
    <w:basedOn w:val="DefaultParagraphFont"/>
    <w:link w:val="BodyText"/>
    <w:uiPriority w:val="99"/>
    <w:rsid w:val="00B049D0"/>
    <w:rPr>
      <w:sz w:val="24"/>
    </w:rPr>
  </w:style>
  <w:style w:type="paragraph" w:styleId="ListNumber">
    <w:name w:val="List Number"/>
    <w:basedOn w:val="Normal"/>
    <w:unhideWhenUsed/>
    <w:qFormat/>
    <w:rsid w:val="00B049D0"/>
    <w:pPr>
      <w:numPr>
        <w:numId w:val="30"/>
      </w:numPr>
      <w:spacing w:before="120" w:after="0" w:line="252" w:lineRule="auto"/>
    </w:pPr>
    <w:rPr>
      <w:sz w:val="24"/>
    </w:rPr>
  </w:style>
  <w:style w:type="paragraph" w:styleId="ListContinue">
    <w:name w:val="List Continue"/>
    <w:basedOn w:val="ListParagraph"/>
    <w:uiPriority w:val="99"/>
    <w:unhideWhenUsed/>
    <w:rsid w:val="00F52D12"/>
    <w:pPr>
      <w:ind w:firstLine="0"/>
    </w:pPr>
  </w:style>
  <w:style w:type="paragraph" w:customStyle="1" w:styleId="figure">
    <w:name w:val="figure"/>
    <w:basedOn w:val="Normal"/>
    <w:next w:val="Caption"/>
    <w:qFormat/>
    <w:rsid w:val="00B049D0"/>
    <w:pPr>
      <w:keepNext/>
      <w:spacing w:after="0" w:line="240" w:lineRule="auto"/>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4572">
      <w:bodyDiv w:val="1"/>
      <w:marLeft w:val="0"/>
      <w:marRight w:val="0"/>
      <w:marTop w:val="0"/>
      <w:marBottom w:val="0"/>
      <w:divBdr>
        <w:top w:val="none" w:sz="0" w:space="0" w:color="auto"/>
        <w:left w:val="none" w:sz="0" w:space="0" w:color="auto"/>
        <w:bottom w:val="none" w:sz="0" w:space="0" w:color="auto"/>
        <w:right w:val="none" w:sz="0" w:space="0" w:color="auto"/>
      </w:divBdr>
    </w:div>
    <w:div w:id="37432994">
      <w:bodyDiv w:val="1"/>
      <w:marLeft w:val="0"/>
      <w:marRight w:val="0"/>
      <w:marTop w:val="0"/>
      <w:marBottom w:val="0"/>
      <w:divBdr>
        <w:top w:val="none" w:sz="0" w:space="0" w:color="auto"/>
        <w:left w:val="none" w:sz="0" w:space="0" w:color="auto"/>
        <w:bottom w:val="none" w:sz="0" w:space="0" w:color="auto"/>
        <w:right w:val="none" w:sz="0" w:space="0" w:color="auto"/>
      </w:divBdr>
    </w:div>
    <w:div w:id="44303632">
      <w:bodyDiv w:val="1"/>
      <w:marLeft w:val="0"/>
      <w:marRight w:val="0"/>
      <w:marTop w:val="0"/>
      <w:marBottom w:val="0"/>
      <w:divBdr>
        <w:top w:val="none" w:sz="0" w:space="0" w:color="auto"/>
        <w:left w:val="none" w:sz="0" w:space="0" w:color="auto"/>
        <w:bottom w:val="none" w:sz="0" w:space="0" w:color="auto"/>
        <w:right w:val="none" w:sz="0" w:space="0" w:color="auto"/>
      </w:divBdr>
    </w:div>
    <w:div w:id="68893140">
      <w:bodyDiv w:val="1"/>
      <w:marLeft w:val="0"/>
      <w:marRight w:val="0"/>
      <w:marTop w:val="0"/>
      <w:marBottom w:val="0"/>
      <w:divBdr>
        <w:top w:val="none" w:sz="0" w:space="0" w:color="auto"/>
        <w:left w:val="none" w:sz="0" w:space="0" w:color="auto"/>
        <w:bottom w:val="none" w:sz="0" w:space="0" w:color="auto"/>
        <w:right w:val="none" w:sz="0" w:space="0" w:color="auto"/>
      </w:divBdr>
    </w:div>
    <w:div w:id="85662778">
      <w:bodyDiv w:val="1"/>
      <w:marLeft w:val="0"/>
      <w:marRight w:val="0"/>
      <w:marTop w:val="0"/>
      <w:marBottom w:val="0"/>
      <w:divBdr>
        <w:top w:val="none" w:sz="0" w:space="0" w:color="auto"/>
        <w:left w:val="none" w:sz="0" w:space="0" w:color="auto"/>
        <w:bottom w:val="none" w:sz="0" w:space="0" w:color="auto"/>
        <w:right w:val="none" w:sz="0" w:space="0" w:color="auto"/>
      </w:divBdr>
    </w:div>
    <w:div w:id="89009233">
      <w:bodyDiv w:val="1"/>
      <w:marLeft w:val="0"/>
      <w:marRight w:val="0"/>
      <w:marTop w:val="0"/>
      <w:marBottom w:val="0"/>
      <w:divBdr>
        <w:top w:val="none" w:sz="0" w:space="0" w:color="auto"/>
        <w:left w:val="none" w:sz="0" w:space="0" w:color="auto"/>
        <w:bottom w:val="none" w:sz="0" w:space="0" w:color="auto"/>
        <w:right w:val="none" w:sz="0" w:space="0" w:color="auto"/>
      </w:divBdr>
    </w:div>
    <w:div w:id="90517102">
      <w:bodyDiv w:val="1"/>
      <w:marLeft w:val="0"/>
      <w:marRight w:val="0"/>
      <w:marTop w:val="0"/>
      <w:marBottom w:val="0"/>
      <w:divBdr>
        <w:top w:val="none" w:sz="0" w:space="0" w:color="auto"/>
        <w:left w:val="none" w:sz="0" w:space="0" w:color="auto"/>
        <w:bottom w:val="none" w:sz="0" w:space="0" w:color="auto"/>
        <w:right w:val="none" w:sz="0" w:space="0" w:color="auto"/>
      </w:divBdr>
    </w:div>
    <w:div w:id="93668146">
      <w:bodyDiv w:val="1"/>
      <w:marLeft w:val="0"/>
      <w:marRight w:val="0"/>
      <w:marTop w:val="0"/>
      <w:marBottom w:val="0"/>
      <w:divBdr>
        <w:top w:val="none" w:sz="0" w:space="0" w:color="auto"/>
        <w:left w:val="none" w:sz="0" w:space="0" w:color="auto"/>
        <w:bottom w:val="none" w:sz="0" w:space="0" w:color="auto"/>
        <w:right w:val="none" w:sz="0" w:space="0" w:color="auto"/>
      </w:divBdr>
    </w:div>
    <w:div w:id="100689488">
      <w:bodyDiv w:val="1"/>
      <w:marLeft w:val="0"/>
      <w:marRight w:val="0"/>
      <w:marTop w:val="0"/>
      <w:marBottom w:val="0"/>
      <w:divBdr>
        <w:top w:val="none" w:sz="0" w:space="0" w:color="auto"/>
        <w:left w:val="none" w:sz="0" w:space="0" w:color="auto"/>
        <w:bottom w:val="none" w:sz="0" w:space="0" w:color="auto"/>
        <w:right w:val="none" w:sz="0" w:space="0" w:color="auto"/>
      </w:divBdr>
    </w:div>
    <w:div w:id="107970162">
      <w:bodyDiv w:val="1"/>
      <w:marLeft w:val="0"/>
      <w:marRight w:val="0"/>
      <w:marTop w:val="0"/>
      <w:marBottom w:val="0"/>
      <w:divBdr>
        <w:top w:val="none" w:sz="0" w:space="0" w:color="auto"/>
        <w:left w:val="none" w:sz="0" w:space="0" w:color="auto"/>
        <w:bottom w:val="none" w:sz="0" w:space="0" w:color="auto"/>
        <w:right w:val="none" w:sz="0" w:space="0" w:color="auto"/>
      </w:divBdr>
    </w:div>
    <w:div w:id="113254043">
      <w:bodyDiv w:val="1"/>
      <w:marLeft w:val="0"/>
      <w:marRight w:val="0"/>
      <w:marTop w:val="0"/>
      <w:marBottom w:val="0"/>
      <w:divBdr>
        <w:top w:val="none" w:sz="0" w:space="0" w:color="auto"/>
        <w:left w:val="none" w:sz="0" w:space="0" w:color="auto"/>
        <w:bottom w:val="none" w:sz="0" w:space="0" w:color="auto"/>
        <w:right w:val="none" w:sz="0" w:space="0" w:color="auto"/>
      </w:divBdr>
    </w:div>
    <w:div w:id="118645156">
      <w:bodyDiv w:val="1"/>
      <w:marLeft w:val="0"/>
      <w:marRight w:val="0"/>
      <w:marTop w:val="0"/>
      <w:marBottom w:val="0"/>
      <w:divBdr>
        <w:top w:val="none" w:sz="0" w:space="0" w:color="auto"/>
        <w:left w:val="none" w:sz="0" w:space="0" w:color="auto"/>
        <w:bottom w:val="none" w:sz="0" w:space="0" w:color="auto"/>
        <w:right w:val="none" w:sz="0" w:space="0" w:color="auto"/>
      </w:divBdr>
    </w:div>
    <w:div w:id="118913797">
      <w:bodyDiv w:val="1"/>
      <w:marLeft w:val="0"/>
      <w:marRight w:val="0"/>
      <w:marTop w:val="0"/>
      <w:marBottom w:val="0"/>
      <w:divBdr>
        <w:top w:val="none" w:sz="0" w:space="0" w:color="auto"/>
        <w:left w:val="none" w:sz="0" w:space="0" w:color="auto"/>
        <w:bottom w:val="none" w:sz="0" w:space="0" w:color="auto"/>
        <w:right w:val="none" w:sz="0" w:space="0" w:color="auto"/>
      </w:divBdr>
    </w:div>
    <w:div w:id="125705057">
      <w:bodyDiv w:val="1"/>
      <w:marLeft w:val="0"/>
      <w:marRight w:val="0"/>
      <w:marTop w:val="0"/>
      <w:marBottom w:val="0"/>
      <w:divBdr>
        <w:top w:val="none" w:sz="0" w:space="0" w:color="auto"/>
        <w:left w:val="none" w:sz="0" w:space="0" w:color="auto"/>
        <w:bottom w:val="none" w:sz="0" w:space="0" w:color="auto"/>
        <w:right w:val="none" w:sz="0" w:space="0" w:color="auto"/>
      </w:divBdr>
    </w:div>
    <w:div w:id="126288536">
      <w:bodyDiv w:val="1"/>
      <w:marLeft w:val="0"/>
      <w:marRight w:val="0"/>
      <w:marTop w:val="0"/>
      <w:marBottom w:val="0"/>
      <w:divBdr>
        <w:top w:val="none" w:sz="0" w:space="0" w:color="auto"/>
        <w:left w:val="none" w:sz="0" w:space="0" w:color="auto"/>
        <w:bottom w:val="none" w:sz="0" w:space="0" w:color="auto"/>
        <w:right w:val="none" w:sz="0" w:space="0" w:color="auto"/>
      </w:divBdr>
    </w:div>
    <w:div w:id="132911510">
      <w:bodyDiv w:val="1"/>
      <w:marLeft w:val="0"/>
      <w:marRight w:val="0"/>
      <w:marTop w:val="0"/>
      <w:marBottom w:val="0"/>
      <w:divBdr>
        <w:top w:val="none" w:sz="0" w:space="0" w:color="auto"/>
        <w:left w:val="none" w:sz="0" w:space="0" w:color="auto"/>
        <w:bottom w:val="none" w:sz="0" w:space="0" w:color="auto"/>
        <w:right w:val="none" w:sz="0" w:space="0" w:color="auto"/>
      </w:divBdr>
    </w:div>
    <w:div w:id="163396690">
      <w:bodyDiv w:val="1"/>
      <w:marLeft w:val="0"/>
      <w:marRight w:val="0"/>
      <w:marTop w:val="0"/>
      <w:marBottom w:val="0"/>
      <w:divBdr>
        <w:top w:val="none" w:sz="0" w:space="0" w:color="auto"/>
        <w:left w:val="none" w:sz="0" w:space="0" w:color="auto"/>
        <w:bottom w:val="none" w:sz="0" w:space="0" w:color="auto"/>
        <w:right w:val="none" w:sz="0" w:space="0" w:color="auto"/>
      </w:divBdr>
    </w:div>
    <w:div w:id="175924464">
      <w:bodyDiv w:val="1"/>
      <w:marLeft w:val="0"/>
      <w:marRight w:val="0"/>
      <w:marTop w:val="0"/>
      <w:marBottom w:val="0"/>
      <w:divBdr>
        <w:top w:val="none" w:sz="0" w:space="0" w:color="auto"/>
        <w:left w:val="none" w:sz="0" w:space="0" w:color="auto"/>
        <w:bottom w:val="none" w:sz="0" w:space="0" w:color="auto"/>
        <w:right w:val="none" w:sz="0" w:space="0" w:color="auto"/>
      </w:divBdr>
    </w:div>
    <w:div w:id="176970191">
      <w:bodyDiv w:val="1"/>
      <w:marLeft w:val="0"/>
      <w:marRight w:val="0"/>
      <w:marTop w:val="0"/>
      <w:marBottom w:val="0"/>
      <w:divBdr>
        <w:top w:val="none" w:sz="0" w:space="0" w:color="auto"/>
        <w:left w:val="none" w:sz="0" w:space="0" w:color="auto"/>
        <w:bottom w:val="none" w:sz="0" w:space="0" w:color="auto"/>
        <w:right w:val="none" w:sz="0" w:space="0" w:color="auto"/>
      </w:divBdr>
    </w:div>
    <w:div w:id="183597656">
      <w:bodyDiv w:val="1"/>
      <w:marLeft w:val="0"/>
      <w:marRight w:val="0"/>
      <w:marTop w:val="0"/>
      <w:marBottom w:val="0"/>
      <w:divBdr>
        <w:top w:val="none" w:sz="0" w:space="0" w:color="auto"/>
        <w:left w:val="none" w:sz="0" w:space="0" w:color="auto"/>
        <w:bottom w:val="none" w:sz="0" w:space="0" w:color="auto"/>
        <w:right w:val="none" w:sz="0" w:space="0" w:color="auto"/>
      </w:divBdr>
    </w:div>
    <w:div w:id="201790579">
      <w:bodyDiv w:val="1"/>
      <w:marLeft w:val="0"/>
      <w:marRight w:val="0"/>
      <w:marTop w:val="0"/>
      <w:marBottom w:val="0"/>
      <w:divBdr>
        <w:top w:val="none" w:sz="0" w:space="0" w:color="auto"/>
        <w:left w:val="none" w:sz="0" w:space="0" w:color="auto"/>
        <w:bottom w:val="none" w:sz="0" w:space="0" w:color="auto"/>
        <w:right w:val="none" w:sz="0" w:space="0" w:color="auto"/>
      </w:divBdr>
    </w:div>
    <w:div w:id="216162095">
      <w:bodyDiv w:val="1"/>
      <w:marLeft w:val="0"/>
      <w:marRight w:val="0"/>
      <w:marTop w:val="0"/>
      <w:marBottom w:val="0"/>
      <w:divBdr>
        <w:top w:val="none" w:sz="0" w:space="0" w:color="auto"/>
        <w:left w:val="none" w:sz="0" w:space="0" w:color="auto"/>
        <w:bottom w:val="none" w:sz="0" w:space="0" w:color="auto"/>
        <w:right w:val="none" w:sz="0" w:space="0" w:color="auto"/>
      </w:divBdr>
    </w:div>
    <w:div w:id="238368470">
      <w:bodyDiv w:val="1"/>
      <w:marLeft w:val="0"/>
      <w:marRight w:val="0"/>
      <w:marTop w:val="0"/>
      <w:marBottom w:val="0"/>
      <w:divBdr>
        <w:top w:val="none" w:sz="0" w:space="0" w:color="auto"/>
        <w:left w:val="none" w:sz="0" w:space="0" w:color="auto"/>
        <w:bottom w:val="none" w:sz="0" w:space="0" w:color="auto"/>
        <w:right w:val="none" w:sz="0" w:space="0" w:color="auto"/>
      </w:divBdr>
    </w:div>
    <w:div w:id="244800705">
      <w:bodyDiv w:val="1"/>
      <w:marLeft w:val="0"/>
      <w:marRight w:val="0"/>
      <w:marTop w:val="0"/>
      <w:marBottom w:val="0"/>
      <w:divBdr>
        <w:top w:val="none" w:sz="0" w:space="0" w:color="auto"/>
        <w:left w:val="none" w:sz="0" w:space="0" w:color="auto"/>
        <w:bottom w:val="none" w:sz="0" w:space="0" w:color="auto"/>
        <w:right w:val="none" w:sz="0" w:space="0" w:color="auto"/>
      </w:divBdr>
    </w:div>
    <w:div w:id="245457471">
      <w:bodyDiv w:val="1"/>
      <w:marLeft w:val="0"/>
      <w:marRight w:val="0"/>
      <w:marTop w:val="0"/>
      <w:marBottom w:val="0"/>
      <w:divBdr>
        <w:top w:val="none" w:sz="0" w:space="0" w:color="auto"/>
        <w:left w:val="none" w:sz="0" w:space="0" w:color="auto"/>
        <w:bottom w:val="none" w:sz="0" w:space="0" w:color="auto"/>
        <w:right w:val="none" w:sz="0" w:space="0" w:color="auto"/>
      </w:divBdr>
    </w:div>
    <w:div w:id="258686912">
      <w:bodyDiv w:val="1"/>
      <w:marLeft w:val="0"/>
      <w:marRight w:val="0"/>
      <w:marTop w:val="0"/>
      <w:marBottom w:val="0"/>
      <w:divBdr>
        <w:top w:val="none" w:sz="0" w:space="0" w:color="auto"/>
        <w:left w:val="none" w:sz="0" w:space="0" w:color="auto"/>
        <w:bottom w:val="none" w:sz="0" w:space="0" w:color="auto"/>
        <w:right w:val="none" w:sz="0" w:space="0" w:color="auto"/>
      </w:divBdr>
    </w:div>
    <w:div w:id="272443521">
      <w:bodyDiv w:val="1"/>
      <w:marLeft w:val="0"/>
      <w:marRight w:val="0"/>
      <w:marTop w:val="0"/>
      <w:marBottom w:val="0"/>
      <w:divBdr>
        <w:top w:val="none" w:sz="0" w:space="0" w:color="auto"/>
        <w:left w:val="none" w:sz="0" w:space="0" w:color="auto"/>
        <w:bottom w:val="none" w:sz="0" w:space="0" w:color="auto"/>
        <w:right w:val="none" w:sz="0" w:space="0" w:color="auto"/>
      </w:divBdr>
    </w:div>
    <w:div w:id="281346280">
      <w:bodyDiv w:val="1"/>
      <w:marLeft w:val="0"/>
      <w:marRight w:val="0"/>
      <w:marTop w:val="0"/>
      <w:marBottom w:val="0"/>
      <w:divBdr>
        <w:top w:val="none" w:sz="0" w:space="0" w:color="auto"/>
        <w:left w:val="none" w:sz="0" w:space="0" w:color="auto"/>
        <w:bottom w:val="none" w:sz="0" w:space="0" w:color="auto"/>
        <w:right w:val="none" w:sz="0" w:space="0" w:color="auto"/>
      </w:divBdr>
    </w:div>
    <w:div w:id="306476398">
      <w:bodyDiv w:val="1"/>
      <w:marLeft w:val="0"/>
      <w:marRight w:val="0"/>
      <w:marTop w:val="0"/>
      <w:marBottom w:val="0"/>
      <w:divBdr>
        <w:top w:val="none" w:sz="0" w:space="0" w:color="auto"/>
        <w:left w:val="none" w:sz="0" w:space="0" w:color="auto"/>
        <w:bottom w:val="none" w:sz="0" w:space="0" w:color="auto"/>
        <w:right w:val="none" w:sz="0" w:space="0" w:color="auto"/>
      </w:divBdr>
    </w:div>
    <w:div w:id="307634596">
      <w:bodyDiv w:val="1"/>
      <w:marLeft w:val="0"/>
      <w:marRight w:val="0"/>
      <w:marTop w:val="0"/>
      <w:marBottom w:val="0"/>
      <w:divBdr>
        <w:top w:val="none" w:sz="0" w:space="0" w:color="auto"/>
        <w:left w:val="none" w:sz="0" w:space="0" w:color="auto"/>
        <w:bottom w:val="none" w:sz="0" w:space="0" w:color="auto"/>
        <w:right w:val="none" w:sz="0" w:space="0" w:color="auto"/>
      </w:divBdr>
    </w:div>
    <w:div w:id="321201509">
      <w:bodyDiv w:val="1"/>
      <w:marLeft w:val="0"/>
      <w:marRight w:val="0"/>
      <w:marTop w:val="0"/>
      <w:marBottom w:val="0"/>
      <w:divBdr>
        <w:top w:val="none" w:sz="0" w:space="0" w:color="auto"/>
        <w:left w:val="none" w:sz="0" w:space="0" w:color="auto"/>
        <w:bottom w:val="none" w:sz="0" w:space="0" w:color="auto"/>
        <w:right w:val="none" w:sz="0" w:space="0" w:color="auto"/>
      </w:divBdr>
    </w:div>
    <w:div w:id="355547855">
      <w:bodyDiv w:val="1"/>
      <w:marLeft w:val="0"/>
      <w:marRight w:val="0"/>
      <w:marTop w:val="0"/>
      <w:marBottom w:val="0"/>
      <w:divBdr>
        <w:top w:val="none" w:sz="0" w:space="0" w:color="auto"/>
        <w:left w:val="none" w:sz="0" w:space="0" w:color="auto"/>
        <w:bottom w:val="none" w:sz="0" w:space="0" w:color="auto"/>
        <w:right w:val="none" w:sz="0" w:space="0" w:color="auto"/>
      </w:divBdr>
    </w:div>
    <w:div w:id="356321364">
      <w:bodyDiv w:val="1"/>
      <w:marLeft w:val="0"/>
      <w:marRight w:val="0"/>
      <w:marTop w:val="0"/>
      <w:marBottom w:val="0"/>
      <w:divBdr>
        <w:top w:val="none" w:sz="0" w:space="0" w:color="auto"/>
        <w:left w:val="none" w:sz="0" w:space="0" w:color="auto"/>
        <w:bottom w:val="none" w:sz="0" w:space="0" w:color="auto"/>
        <w:right w:val="none" w:sz="0" w:space="0" w:color="auto"/>
      </w:divBdr>
    </w:div>
    <w:div w:id="364715475">
      <w:bodyDiv w:val="1"/>
      <w:marLeft w:val="0"/>
      <w:marRight w:val="0"/>
      <w:marTop w:val="0"/>
      <w:marBottom w:val="0"/>
      <w:divBdr>
        <w:top w:val="none" w:sz="0" w:space="0" w:color="auto"/>
        <w:left w:val="none" w:sz="0" w:space="0" w:color="auto"/>
        <w:bottom w:val="none" w:sz="0" w:space="0" w:color="auto"/>
        <w:right w:val="none" w:sz="0" w:space="0" w:color="auto"/>
      </w:divBdr>
    </w:div>
    <w:div w:id="368532884">
      <w:bodyDiv w:val="1"/>
      <w:marLeft w:val="0"/>
      <w:marRight w:val="0"/>
      <w:marTop w:val="0"/>
      <w:marBottom w:val="0"/>
      <w:divBdr>
        <w:top w:val="none" w:sz="0" w:space="0" w:color="auto"/>
        <w:left w:val="none" w:sz="0" w:space="0" w:color="auto"/>
        <w:bottom w:val="none" w:sz="0" w:space="0" w:color="auto"/>
        <w:right w:val="none" w:sz="0" w:space="0" w:color="auto"/>
      </w:divBdr>
    </w:div>
    <w:div w:id="384986474">
      <w:bodyDiv w:val="1"/>
      <w:marLeft w:val="0"/>
      <w:marRight w:val="0"/>
      <w:marTop w:val="0"/>
      <w:marBottom w:val="0"/>
      <w:divBdr>
        <w:top w:val="none" w:sz="0" w:space="0" w:color="auto"/>
        <w:left w:val="none" w:sz="0" w:space="0" w:color="auto"/>
        <w:bottom w:val="none" w:sz="0" w:space="0" w:color="auto"/>
        <w:right w:val="none" w:sz="0" w:space="0" w:color="auto"/>
      </w:divBdr>
    </w:div>
    <w:div w:id="388500460">
      <w:bodyDiv w:val="1"/>
      <w:marLeft w:val="0"/>
      <w:marRight w:val="0"/>
      <w:marTop w:val="0"/>
      <w:marBottom w:val="0"/>
      <w:divBdr>
        <w:top w:val="none" w:sz="0" w:space="0" w:color="auto"/>
        <w:left w:val="none" w:sz="0" w:space="0" w:color="auto"/>
        <w:bottom w:val="none" w:sz="0" w:space="0" w:color="auto"/>
        <w:right w:val="none" w:sz="0" w:space="0" w:color="auto"/>
      </w:divBdr>
    </w:div>
    <w:div w:id="390735483">
      <w:bodyDiv w:val="1"/>
      <w:marLeft w:val="0"/>
      <w:marRight w:val="0"/>
      <w:marTop w:val="0"/>
      <w:marBottom w:val="0"/>
      <w:divBdr>
        <w:top w:val="none" w:sz="0" w:space="0" w:color="auto"/>
        <w:left w:val="none" w:sz="0" w:space="0" w:color="auto"/>
        <w:bottom w:val="none" w:sz="0" w:space="0" w:color="auto"/>
        <w:right w:val="none" w:sz="0" w:space="0" w:color="auto"/>
      </w:divBdr>
    </w:div>
    <w:div w:id="391079638">
      <w:bodyDiv w:val="1"/>
      <w:marLeft w:val="0"/>
      <w:marRight w:val="0"/>
      <w:marTop w:val="0"/>
      <w:marBottom w:val="0"/>
      <w:divBdr>
        <w:top w:val="none" w:sz="0" w:space="0" w:color="auto"/>
        <w:left w:val="none" w:sz="0" w:space="0" w:color="auto"/>
        <w:bottom w:val="none" w:sz="0" w:space="0" w:color="auto"/>
        <w:right w:val="none" w:sz="0" w:space="0" w:color="auto"/>
      </w:divBdr>
    </w:div>
    <w:div w:id="400298300">
      <w:bodyDiv w:val="1"/>
      <w:marLeft w:val="0"/>
      <w:marRight w:val="0"/>
      <w:marTop w:val="0"/>
      <w:marBottom w:val="0"/>
      <w:divBdr>
        <w:top w:val="none" w:sz="0" w:space="0" w:color="auto"/>
        <w:left w:val="none" w:sz="0" w:space="0" w:color="auto"/>
        <w:bottom w:val="none" w:sz="0" w:space="0" w:color="auto"/>
        <w:right w:val="none" w:sz="0" w:space="0" w:color="auto"/>
      </w:divBdr>
    </w:div>
    <w:div w:id="411902257">
      <w:bodyDiv w:val="1"/>
      <w:marLeft w:val="0"/>
      <w:marRight w:val="0"/>
      <w:marTop w:val="0"/>
      <w:marBottom w:val="0"/>
      <w:divBdr>
        <w:top w:val="none" w:sz="0" w:space="0" w:color="auto"/>
        <w:left w:val="none" w:sz="0" w:space="0" w:color="auto"/>
        <w:bottom w:val="none" w:sz="0" w:space="0" w:color="auto"/>
        <w:right w:val="none" w:sz="0" w:space="0" w:color="auto"/>
      </w:divBdr>
    </w:div>
    <w:div w:id="424495553">
      <w:bodyDiv w:val="1"/>
      <w:marLeft w:val="0"/>
      <w:marRight w:val="0"/>
      <w:marTop w:val="0"/>
      <w:marBottom w:val="0"/>
      <w:divBdr>
        <w:top w:val="none" w:sz="0" w:space="0" w:color="auto"/>
        <w:left w:val="none" w:sz="0" w:space="0" w:color="auto"/>
        <w:bottom w:val="none" w:sz="0" w:space="0" w:color="auto"/>
        <w:right w:val="none" w:sz="0" w:space="0" w:color="auto"/>
      </w:divBdr>
    </w:div>
    <w:div w:id="434715517">
      <w:bodyDiv w:val="1"/>
      <w:marLeft w:val="0"/>
      <w:marRight w:val="0"/>
      <w:marTop w:val="0"/>
      <w:marBottom w:val="0"/>
      <w:divBdr>
        <w:top w:val="none" w:sz="0" w:space="0" w:color="auto"/>
        <w:left w:val="none" w:sz="0" w:space="0" w:color="auto"/>
        <w:bottom w:val="none" w:sz="0" w:space="0" w:color="auto"/>
        <w:right w:val="none" w:sz="0" w:space="0" w:color="auto"/>
      </w:divBdr>
    </w:div>
    <w:div w:id="442961963">
      <w:bodyDiv w:val="1"/>
      <w:marLeft w:val="0"/>
      <w:marRight w:val="0"/>
      <w:marTop w:val="0"/>
      <w:marBottom w:val="0"/>
      <w:divBdr>
        <w:top w:val="none" w:sz="0" w:space="0" w:color="auto"/>
        <w:left w:val="none" w:sz="0" w:space="0" w:color="auto"/>
        <w:bottom w:val="none" w:sz="0" w:space="0" w:color="auto"/>
        <w:right w:val="none" w:sz="0" w:space="0" w:color="auto"/>
      </w:divBdr>
    </w:div>
    <w:div w:id="450049660">
      <w:bodyDiv w:val="1"/>
      <w:marLeft w:val="0"/>
      <w:marRight w:val="0"/>
      <w:marTop w:val="0"/>
      <w:marBottom w:val="0"/>
      <w:divBdr>
        <w:top w:val="none" w:sz="0" w:space="0" w:color="auto"/>
        <w:left w:val="none" w:sz="0" w:space="0" w:color="auto"/>
        <w:bottom w:val="none" w:sz="0" w:space="0" w:color="auto"/>
        <w:right w:val="none" w:sz="0" w:space="0" w:color="auto"/>
      </w:divBdr>
    </w:div>
    <w:div w:id="452288872">
      <w:bodyDiv w:val="1"/>
      <w:marLeft w:val="0"/>
      <w:marRight w:val="0"/>
      <w:marTop w:val="0"/>
      <w:marBottom w:val="0"/>
      <w:divBdr>
        <w:top w:val="none" w:sz="0" w:space="0" w:color="auto"/>
        <w:left w:val="none" w:sz="0" w:space="0" w:color="auto"/>
        <w:bottom w:val="none" w:sz="0" w:space="0" w:color="auto"/>
        <w:right w:val="none" w:sz="0" w:space="0" w:color="auto"/>
      </w:divBdr>
    </w:div>
    <w:div w:id="472721040">
      <w:bodyDiv w:val="1"/>
      <w:marLeft w:val="0"/>
      <w:marRight w:val="0"/>
      <w:marTop w:val="0"/>
      <w:marBottom w:val="0"/>
      <w:divBdr>
        <w:top w:val="none" w:sz="0" w:space="0" w:color="auto"/>
        <w:left w:val="none" w:sz="0" w:space="0" w:color="auto"/>
        <w:bottom w:val="none" w:sz="0" w:space="0" w:color="auto"/>
        <w:right w:val="none" w:sz="0" w:space="0" w:color="auto"/>
      </w:divBdr>
    </w:div>
    <w:div w:id="488131578">
      <w:bodyDiv w:val="1"/>
      <w:marLeft w:val="0"/>
      <w:marRight w:val="0"/>
      <w:marTop w:val="0"/>
      <w:marBottom w:val="0"/>
      <w:divBdr>
        <w:top w:val="none" w:sz="0" w:space="0" w:color="auto"/>
        <w:left w:val="none" w:sz="0" w:space="0" w:color="auto"/>
        <w:bottom w:val="none" w:sz="0" w:space="0" w:color="auto"/>
        <w:right w:val="none" w:sz="0" w:space="0" w:color="auto"/>
      </w:divBdr>
    </w:div>
    <w:div w:id="500202883">
      <w:bodyDiv w:val="1"/>
      <w:marLeft w:val="0"/>
      <w:marRight w:val="0"/>
      <w:marTop w:val="0"/>
      <w:marBottom w:val="0"/>
      <w:divBdr>
        <w:top w:val="none" w:sz="0" w:space="0" w:color="auto"/>
        <w:left w:val="none" w:sz="0" w:space="0" w:color="auto"/>
        <w:bottom w:val="none" w:sz="0" w:space="0" w:color="auto"/>
        <w:right w:val="none" w:sz="0" w:space="0" w:color="auto"/>
      </w:divBdr>
    </w:div>
    <w:div w:id="533544667">
      <w:bodyDiv w:val="1"/>
      <w:marLeft w:val="0"/>
      <w:marRight w:val="0"/>
      <w:marTop w:val="0"/>
      <w:marBottom w:val="0"/>
      <w:divBdr>
        <w:top w:val="none" w:sz="0" w:space="0" w:color="auto"/>
        <w:left w:val="none" w:sz="0" w:space="0" w:color="auto"/>
        <w:bottom w:val="none" w:sz="0" w:space="0" w:color="auto"/>
        <w:right w:val="none" w:sz="0" w:space="0" w:color="auto"/>
      </w:divBdr>
    </w:div>
    <w:div w:id="580602792">
      <w:bodyDiv w:val="1"/>
      <w:marLeft w:val="0"/>
      <w:marRight w:val="0"/>
      <w:marTop w:val="0"/>
      <w:marBottom w:val="0"/>
      <w:divBdr>
        <w:top w:val="none" w:sz="0" w:space="0" w:color="auto"/>
        <w:left w:val="none" w:sz="0" w:space="0" w:color="auto"/>
        <w:bottom w:val="none" w:sz="0" w:space="0" w:color="auto"/>
        <w:right w:val="none" w:sz="0" w:space="0" w:color="auto"/>
      </w:divBdr>
    </w:div>
    <w:div w:id="604308523">
      <w:bodyDiv w:val="1"/>
      <w:marLeft w:val="0"/>
      <w:marRight w:val="0"/>
      <w:marTop w:val="0"/>
      <w:marBottom w:val="0"/>
      <w:divBdr>
        <w:top w:val="none" w:sz="0" w:space="0" w:color="auto"/>
        <w:left w:val="none" w:sz="0" w:space="0" w:color="auto"/>
        <w:bottom w:val="none" w:sz="0" w:space="0" w:color="auto"/>
        <w:right w:val="none" w:sz="0" w:space="0" w:color="auto"/>
      </w:divBdr>
    </w:div>
    <w:div w:id="605429664">
      <w:bodyDiv w:val="1"/>
      <w:marLeft w:val="0"/>
      <w:marRight w:val="0"/>
      <w:marTop w:val="0"/>
      <w:marBottom w:val="0"/>
      <w:divBdr>
        <w:top w:val="none" w:sz="0" w:space="0" w:color="auto"/>
        <w:left w:val="none" w:sz="0" w:space="0" w:color="auto"/>
        <w:bottom w:val="none" w:sz="0" w:space="0" w:color="auto"/>
        <w:right w:val="none" w:sz="0" w:space="0" w:color="auto"/>
      </w:divBdr>
    </w:div>
    <w:div w:id="607850956">
      <w:bodyDiv w:val="1"/>
      <w:marLeft w:val="0"/>
      <w:marRight w:val="0"/>
      <w:marTop w:val="0"/>
      <w:marBottom w:val="0"/>
      <w:divBdr>
        <w:top w:val="none" w:sz="0" w:space="0" w:color="auto"/>
        <w:left w:val="none" w:sz="0" w:space="0" w:color="auto"/>
        <w:bottom w:val="none" w:sz="0" w:space="0" w:color="auto"/>
        <w:right w:val="none" w:sz="0" w:space="0" w:color="auto"/>
      </w:divBdr>
    </w:div>
    <w:div w:id="637032959">
      <w:bodyDiv w:val="1"/>
      <w:marLeft w:val="0"/>
      <w:marRight w:val="0"/>
      <w:marTop w:val="0"/>
      <w:marBottom w:val="0"/>
      <w:divBdr>
        <w:top w:val="none" w:sz="0" w:space="0" w:color="auto"/>
        <w:left w:val="none" w:sz="0" w:space="0" w:color="auto"/>
        <w:bottom w:val="none" w:sz="0" w:space="0" w:color="auto"/>
        <w:right w:val="none" w:sz="0" w:space="0" w:color="auto"/>
      </w:divBdr>
    </w:div>
    <w:div w:id="637145495">
      <w:bodyDiv w:val="1"/>
      <w:marLeft w:val="0"/>
      <w:marRight w:val="0"/>
      <w:marTop w:val="0"/>
      <w:marBottom w:val="0"/>
      <w:divBdr>
        <w:top w:val="none" w:sz="0" w:space="0" w:color="auto"/>
        <w:left w:val="none" w:sz="0" w:space="0" w:color="auto"/>
        <w:bottom w:val="none" w:sz="0" w:space="0" w:color="auto"/>
        <w:right w:val="none" w:sz="0" w:space="0" w:color="auto"/>
      </w:divBdr>
    </w:div>
    <w:div w:id="647635450">
      <w:bodyDiv w:val="1"/>
      <w:marLeft w:val="0"/>
      <w:marRight w:val="0"/>
      <w:marTop w:val="0"/>
      <w:marBottom w:val="0"/>
      <w:divBdr>
        <w:top w:val="none" w:sz="0" w:space="0" w:color="auto"/>
        <w:left w:val="none" w:sz="0" w:space="0" w:color="auto"/>
        <w:bottom w:val="none" w:sz="0" w:space="0" w:color="auto"/>
        <w:right w:val="none" w:sz="0" w:space="0" w:color="auto"/>
      </w:divBdr>
    </w:div>
    <w:div w:id="649359572">
      <w:bodyDiv w:val="1"/>
      <w:marLeft w:val="0"/>
      <w:marRight w:val="0"/>
      <w:marTop w:val="0"/>
      <w:marBottom w:val="0"/>
      <w:divBdr>
        <w:top w:val="none" w:sz="0" w:space="0" w:color="auto"/>
        <w:left w:val="none" w:sz="0" w:space="0" w:color="auto"/>
        <w:bottom w:val="none" w:sz="0" w:space="0" w:color="auto"/>
        <w:right w:val="none" w:sz="0" w:space="0" w:color="auto"/>
      </w:divBdr>
    </w:div>
    <w:div w:id="652103579">
      <w:bodyDiv w:val="1"/>
      <w:marLeft w:val="0"/>
      <w:marRight w:val="0"/>
      <w:marTop w:val="0"/>
      <w:marBottom w:val="0"/>
      <w:divBdr>
        <w:top w:val="none" w:sz="0" w:space="0" w:color="auto"/>
        <w:left w:val="none" w:sz="0" w:space="0" w:color="auto"/>
        <w:bottom w:val="none" w:sz="0" w:space="0" w:color="auto"/>
        <w:right w:val="none" w:sz="0" w:space="0" w:color="auto"/>
      </w:divBdr>
    </w:div>
    <w:div w:id="652876494">
      <w:bodyDiv w:val="1"/>
      <w:marLeft w:val="0"/>
      <w:marRight w:val="0"/>
      <w:marTop w:val="0"/>
      <w:marBottom w:val="0"/>
      <w:divBdr>
        <w:top w:val="none" w:sz="0" w:space="0" w:color="auto"/>
        <w:left w:val="none" w:sz="0" w:space="0" w:color="auto"/>
        <w:bottom w:val="none" w:sz="0" w:space="0" w:color="auto"/>
        <w:right w:val="none" w:sz="0" w:space="0" w:color="auto"/>
      </w:divBdr>
    </w:div>
    <w:div w:id="671949765">
      <w:bodyDiv w:val="1"/>
      <w:marLeft w:val="0"/>
      <w:marRight w:val="0"/>
      <w:marTop w:val="0"/>
      <w:marBottom w:val="0"/>
      <w:divBdr>
        <w:top w:val="none" w:sz="0" w:space="0" w:color="auto"/>
        <w:left w:val="none" w:sz="0" w:space="0" w:color="auto"/>
        <w:bottom w:val="none" w:sz="0" w:space="0" w:color="auto"/>
        <w:right w:val="none" w:sz="0" w:space="0" w:color="auto"/>
      </w:divBdr>
    </w:div>
    <w:div w:id="673728006">
      <w:bodyDiv w:val="1"/>
      <w:marLeft w:val="0"/>
      <w:marRight w:val="0"/>
      <w:marTop w:val="0"/>
      <w:marBottom w:val="0"/>
      <w:divBdr>
        <w:top w:val="none" w:sz="0" w:space="0" w:color="auto"/>
        <w:left w:val="none" w:sz="0" w:space="0" w:color="auto"/>
        <w:bottom w:val="none" w:sz="0" w:space="0" w:color="auto"/>
        <w:right w:val="none" w:sz="0" w:space="0" w:color="auto"/>
      </w:divBdr>
    </w:div>
    <w:div w:id="689987552">
      <w:bodyDiv w:val="1"/>
      <w:marLeft w:val="0"/>
      <w:marRight w:val="0"/>
      <w:marTop w:val="0"/>
      <w:marBottom w:val="0"/>
      <w:divBdr>
        <w:top w:val="none" w:sz="0" w:space="0" w:color="auto"/>
        <w:left w:val="none" w:sz="0" w:space="0" w:color="auto"/>
        <w:bottom w:val="none" w:sz="0" w:space="0" w:color="auto"/>
        <w:right w:val="none" w:sz="0" w:space="0" w:color="auto"/>
      </w:divBdr>
    </w:div>
    <w:div w:id="691538613">
      <w:bodyDiv w:val="1"/>
      <w:marLeft w:val="0"/>
      <w:marRight w:val="0"/>
      <w:marTop w:val="0"/>
      <w:marBottom w:val="0"/>
      <w:divBdr>
        <w:top w:val="none" w:sz="0" w:space="0" w:color="auto"/>
        <w:left w:val="none" w:sz="0" w:space="0" w:color="auto"/>
        <w:bottom w:val="none" w:sz="0" w:space="0" w:color="auto"/>
        <w:right w:val="none" w:sz="0" w:space="0" w:color="auto"/>
      </w:divBdr>
    </w:div>
    <w:div w:id="691610437">
      <w:bodyDiv w:val="1"/>
      <w:marLeft w:val="0"/>
      <w:marRight w:val="0"/>
      <w:marTop w:val="0"/>
      <w:marBottom w:val="0"/>
      <w:divBdr>
        <w:top w:val="none" w:sz="0" w:space="0" w:color="auto"/>
        <w:left w:val="none" w:sz="0" w:space="0" w:color="auto"/>
        <w:bottom w:val="none" w:sz="0" w:space="0" w:color="auto"/>
        <w:right w:val="none" w:sz="0" w:space="0" w:color="auto"/>
      </w:divBdr>
    </w:div>
    <w:div w:id="694618911">
      <w:bodyDiv w:val="1"/>
      <w:marLeft w:val="0"/>
      <w:marRight w:val="0"/>
      <w:marTop w:val="0"/>
      <w:marBottom w:val="0"/>
      <w:divBdr>
        <w:top w:val="none" w:sz="0" w:space="0" w:color="auto"/>
        <w:left w:val="none" w:sz="0" w:space="0" w:color="auto"/>
        <w:bottom w:val="none" w:sz="0" w:space="0" w:color="auto"/>
        <w:right w:val="none" w:sz="0" w:space="0" w:color="auto"/>
      </w:divBdr>
    </w:div>
    <w:div w:id="709959728">
      <w:bodyDiv w:val="1"/>
      <w:marLeft w:val="0"/>
      <w:marRight w:val="0"/>
      <w:marTop w:val="0"/>
      <w:marBottom w:val="0"/>
      <w:divBdr>
        <w:top w:val="none" w:sz="0" w:space="0" w:color="auto"/>
        <w:left w:val="none" w:sz="0" w:space="0" w:color="auto"/>
        <w:bottom w:val="none" w:sz="0" w:space="0" w:color="auto"/>
        <w:right w:val="none" w:sz="0" w:space="0" w:color="auto"/>
      </w:divBdr>
    </w:div>
    <w:div w:id="725571213">
      <w:bodyDiv w:val="1"/>
      <w:marLeft w:val="0"/>
      <w:marRight w:val="0"/>
      <w:marTop w:val="0"/>
      <w:marBottom w:val="0"/>
      <w:divBdr>
        <w:top w:val="none" w:sz="0" w:space="0" w:color="auto"/>
        <w:left w:val="none" w:sz="0" w:space="0" w:color="auto"/>
        <w:bottom w:val="none" w:sz="0" w:space="0" w:color="auto"/>
        <w:right w:val="none" w:sz="0" w:space="0" w:color="auto"/>
      </w:divBdr>
    </w:div>
    <w:div w:id="777141009">
      <w:bodyDiv w:val="1"/>
      <w:marLeft w:val="0"/>
      <w:marRight w:val="0"/>
      <w:marTop w:val="0"/>
      <w:marBottom w:val="0"/>
      <w:divBdr>
        <w:top w:val="none" w:sz="0" w:space="0" w:color="auto"/>
        <w:left w:val="none" w:sz="0" w:space="0" w:color="auto"/>
        <w:bottom w:val="none" w:sz="0" w:space="0" w:color="auto"/>
        <w:right w:val="none" w:sz="0" w:space="0" w:color="auto"/>
      </w:divBdr>
    </w:div>
    <w:div w:id="785394522">
      <w:bodyDiv w:val="1"/>
      <w:marLeft w:val="0"/>
      <w:marRight w:val="0"/>
      <w:marTop w:val="0"/>
      <w:marBottom w:val="0"/>
      <w:divBdr>
        <w:top w:val="none" w:sz="0" w:space="0" w:color="auto"/>
        <w:left w:val="none" w:sz="0" w:space="0" w:color="auto"/>
        <w:bottom w:val="none" w:sz="0" w:space="0" w:color="auto"/>
        <w:right w:val="none" w:sz="0" w:space="0" w:color="auto"/>
      </w:divBdr>
    </w:div>
    <w:div w:id="799881879">
      <w:bodyDiv w:val="1"/>
      <w:marLeft w:val="0"/>
      <w:marRight w:val="0"/>
      <w:marTop w:val="0"/>
      <w:marBottom w:val="0"/>
      <w:divBdr>
        <w:top w:val="none" w:sz="0" w:space="0" w:color="auto"/>
        <w:left w:val="none" w:sz="0" w:space="0" w:color="auto"/>
        <w:bottom w:val="none" w:sz="0" w:space="0" w:color="auto"/>
        <w:right w:val="none" w:sz="0" w:space="0" w:color="auto"/>
      </w:divBdr>
    </w:div>
    <w:div w:id="821779228">
      <w:bodyDiv w:val="1"/>
      <w:marLeft w:val="0"/>
      <w:marRight w:val="0"/>
      <w:marTop w:val="0"/>
      <w:marBottom w:val="0"/>
      <w:divBdr>
        <w:top w:val="none" w:sz="0" w:space="0" w:color="auto"/>
        <w:left w:val="none" w:sz="0" w:space="0" w:color="auto"/>
        <w:bottom w:val="none" w:sz="0" w:space="0" w:color="auto"/>
        <w:right w:val="none" w:sz="0" w:space="0" w:color="auto"/>
      </w:divBdr>
    </w:div>
    <w:div w:id="833303106">
      <w:bodyDiv w:val="1"/>
      <w:marLeft w:val="0"/>
      <w:marRight w:val="0"/>
      <w:marTop w:val="0"/>
      <w:marBottom w:val="0"/>
      <w:divBdr>
        <w:top w:val="none" w:sz="0" w:space="0" w:color="auto"/>
        <w:left w:val="none" w:sz="0" w:space="0" w:color="auto"/>
        <w:bottom w:val="none" w:sz="0" w:space="0" w:color="auto"/>
        <w:right w:val="none" w:sz="0" w:space="0" w:color="auto"/>
      </w:divBdr>
    </w:div>
    <w:div w:id="925848697">
      <w:bodyDiv w:val="1"/>
      <w:marLeft w:val="0"/>
      <w:marRight w:val="0"/>
      <w:marTop w:val="0"/>
      <w:marBottom w:val="0"/>
      <w:divBdr>
        <w:top w:val="none" w:sz="0" w:space="0" w:color="auto"/>
        <w:left w:val="none" w:sz="0" w:space="0" w:color="auto"/>
        <w:bottom w:val="none" w:sz="0" w:space="0" w:color="auto"/>
        <w:right w:val="none" w:sz="0" w:space="0" w:color="auto"/>
      </w:divBdr>
    </w:div>
    <w:div w:id="928463177">
      <w:bodyDiv w:val="1"/>
      <w:marLeft w:val="0"/>
      <w:marRight w:val="0"/>
      <w:marTop w:val="0"/>
      <w:marBottom w:val="0"/>
      <w:divBdr>
        <w:top w:val="none" w:sz="0" w:space="0" w:color="auto"/>
        <w:left w:val="none" w:sz="0" w:space="0" w:color="auto"/>
        <w:bottom w:val="none" w:sz="0" w:space="0" w:color="auto"/>
        <w:right w:val="none" w:sz="0" w:space="0" w:color="auto"/>
      </w:divBdr>
    </w:div>
    <w:div w:id="929317800">
      <w:bodyDiv w:val="1"/>
      <w:marLeft w:val="0"/>
      <w:marRight w:val="0"/>
      <w:marTop w:val="0"/>
      <w:marBottom w:val="0"/>
      <w:divBdr>
        <w:top w:val="none" w:sz="0" w:space="0" w:color="auto"/>
        <w:left w:val="none" w:sz="0" w:space="0" w:color="auto"/>
        <w:bottom w:val="none" w:sz="0" w:space="0" w:color="auto"/>
        <w:right w:val="none" w:sz="0" w:space="0" w:color="auto"/>
      </w:divBdr>
    </w:div>
    <w:div w:id="966667831">
      <w:bodyDiv w:val="1"/>
      <w:marLeft w:val="0"/>
      <w:marRight w:val="0"/>
      <w:marTop w:val="0"/>
      <w:marBottom w:val="0"/>
      <w:divBdr>
        <w:top w:val="none" w:sz="0" w:space="0" w:color="auto"/>
        <w:left w:val="none" w:sz="0" w:space="0" w:color="auto"/>
        <w:bottom w:val="none" w:sz="0" w:space="0" w:color="auto"/>
        <w:right w:val="none" w:sz="0" w:space="0" w:color="auto"/>
      </w:divBdr>
    </w:div>
    <w:div w:id="974027177">
      <w:bodyDiv w:val="1"/>
      <w:marLeft w:val="0"/>
      <w:marRight w:val="0"/>
      <w:marTop w:val="0"/>
      <w:marBottom w:val="0"/>
      <w:divBdr>
        <w:top w:val="none" w:sz="0" w:space="0" w:color="auto"/>
        <w:left w:val="none" w:sz="0" w:space="0" w:color="auto"/>
        <w:bottom w:val="none" w:sz="0" w:space="0" w:color="auto"/>
        <w:right w:val="none" w:sz="0" w:space="0" w:color="auto"/>
      </w:divBdr>
    </w:div>
    <w:div w:id="983125932">
      <w:bodyDiv w:val="1"/>
      <w:marLeft w:val="0"/>
      <w:marRight w:val="0"/>
      <w:marTop w:val="0"/>
      <w:marBottom w:val="0"/>
      <w:divBdr>
        <w:top w:val="none" w:sz="0" w:space="0" w:color="auto"/>
        <w:left w:val="none" w:sz="0" w:space="0" w:color="auto"/>
        <w:bottom w:val="none" w:sz="0" w:space="0" w:color="auto"/>
        <w:right w:val="none" w:sz="0" w:space="0" w:color="auto"/>
      </w:divBdr>
    </w:div>
    <w:div w:id="983588329">
      <w:bodyDiv w:val="1"/>
      <w:marLeft w:val="0"/>
      <w:marRight w:val="0"/>
      <w:marTop w:val="0"/>
      <w:marBottom w:val="0"/>
      <w:divBdr>
        <w:top w:val="none" w:sz="0" w:space="0" w:color="auto"/>
        <w:left w:val="none" w:sz="0" w:space="0" w:color="auto"/>
        <w:bottom w:val="none" w:sz="0" w:space="0" w:color="auto"/>
        <w:right w:val="none" w:sz="0" w:space="0" w:color="auto"/>
      </w:divBdr>
    </w:div>
    <w:div w:id="1005549835">
      <w:bodyDiv w:val="1"/>
      <w:marLeft w:val="0"/>
      <w:marRight w:val="0"/>
      <w:marTop w:val="0"/>
      <w:marBottom w:val="0"/>
      <w:divBdr>
        <w:top w:val="none" w:sz="0" w:space="0" w:color="auto"/>
        <w:left w:val="none" w:sz="0" w:space="0" w:color="auto"/>
        <w:bottom w:val="none" w:sz="0" w:space="0" w:color="auto"/>
        <w:right w:val="none" w:sz="0" w:space="0" w:color="auto"/>
      </w:divBdr>
    </w:div>
    <w:div w:id="1006639051">
      <w:bodyDiv w:val="1"/>
      <w:marLeft w:val="0"/>
      <w:marRight w:val="0"/>
      <w:marTop w:val="0"/>
      <w:marBottom w:val="0"/>
      <w:divBdr>
        <w:top w:val="none" w:sz="0" w:space="0" w:color="auto"/>
        <w:left w:val="none" w:sz="0" w:space="0" w:color="auto"/>
        <w:bottom w:val="none" w:sz="0" w:space="0" w:color="auto"/>
        <w:right w:val="none" w:sz="0" w:space="0" w:color="auto"/>
      </w:divBdr>
    </w:div>
    <w:div w:id="1019771510">
      <w:bodyDiv w:val="1"/>
      <w:marLeft w:val="0"/>
      <w:marRight w:val="0"/>
      <w:marTop w:val="0"/>
      <w:marBottom w:val="0"/>
      <w:divBdr>
        <w:top w:val="none" w:sz="0" w:space="0" w:color="auto"/>
        <w:left w:val="none" w:sz="0" w:space="0" w:color="auto"/>
        <w:bottom w:val="none" w:sz="0" w:space="0" w:color="auto"/>
        <w:right w:val="none" w:sz="0" w:space="0" w:color="auto"/>
      </w:divBdr>
    </w:div>
    <w:div w:id="1025327083">
      <w:bodyDiv w:val="1"/>
      <w:marLeft w:val="0"/>
      <w:marRight w:val="0"/>
      <w:marTop w:val="0"/>
      <w:marBottom w:val="0"/>
      <w:divBdr>
        <w:top w:val="none" w:sz="0" w:space="0" w:color="auto"/>
        <w:left w:val="none" w:sz="0" w:space="0" w:color="auto"/>
        <w:bottom w:val="none" w:sz="0" w:space="0" w:color="auto"/>
        <w:right w:val="none" w:sz="0" w:space="0" w:color="auto"/>
      </w:divBdr>
    </w:div>
    <w:div w:id="1028995141">
      <w:bodyDiv w:val="1"/>
      <w:marLeft w:val="0"/>
      <w:marRight w:val="0"/>
      <w:marTop w:val="0"/>
      <w:marBottom w:val="0"/>
      <w:divBdr>
        <w:top w:val="none" w:sz="0" w:space="0" w:color="auto"/>
        <w:left w:val="none" w:sz="0" w:space="0" w:color="auto"/>
        <w:bottom w:val="none" w:sz="0" w:space="0" w:color="auto"/>
        <w:right w:val="none" w:sz="0" w:space="0" w:color="auto"/>
      </w:divBdr>
    </w:div>
    <w:div w:id="1035891635">
      <w:bodyDiv w:val="1"/>
      <w:marLeft w:val="0"/>
      <w:marRight w:val="0"/>
      <w:marTop w:val="0"/>
      <w:marBottom w:val="0"/>
      <w:divBdr>
        <w:top w:val="none" w:sz="0" w:space="0" w:color="auto"/>
        <w:left w:val="none" w:sz="0" w:space="0" w:color="auto"/>
        <w:bottom w:val="none" w:sz="0" w:space="0" w:color="auto"/>
        <w:right w:val="none" w:sz="0" w:space="0" w:color="auto"/>
      </w:divBdr>
    </w:div>
    <w:div w:id="1041511804">
      <w:bodyDiv w:val="1"/>
      <w:marLeft w:val="0"/>
      <w:marRight w:val="0"/>
      <w:marTop w:val="0"/>
      <w:marBottom w:val="0"/>
      <w:divBdr>
        <w:top w:val="none" w:sz="0" w:space="0" w:color="auto"/>
        <w:left w:val="none" w:sz="0" w:space="0" w:color="auto"/>
        <w:bottom w:val="none" w:sz="0" w:space="0" w:color="auto"/>
        <w:right w:val="none" w:sz="0" w:space="0" w:color="auto"/>
      </w:divBdr>
    </w:div>
    <w:div w:id="1046295245">
      <w:bodyDiv w:val="1"/>
      <w:marLeft w:val="0"/>
      <w:marRight w:val="0"/>
      <w:marTop w:val="0"/>
      <w:marBottom w:val="0"/>
      <w:divBdr>
        <w:top w:val="none" w:sz="0" w:space="0" w:color="auto"/>
        <w:left w:val="none" w:sz="0" w:space="0" w:color="auto"/>
        <w:bottom w:val="none" w:sz="0" w:space="0" w:color="auto"/>
        <w:right w:val="none" w:sz="0" w:space="0" w:color="auto"/>
      </w:divBdr>
    </w:div>
    <w:div w:id="1068962009">
      <w:bodyDiv w:val="1"/>
      <w:marLeft w:val="0"/>
      <w:marRight w:val="0"/>
      <w:marTop w:val="0"/>
      <w:marBottom w:val="0"/>
      <w:divBdr>
        <w:top w:val="none" w:sz="0" w:space="0" w:color="auto"/>
        <w:left w:val="none" w:sz="0" w:space="0" w:color="auto"/>
        <w:bottom w:val="none" w:sz="0" w:space="0" w:color="auto"/>
        <w:right w:val="none" w:sz="0" w:space="0" w:color="auto"/>
      </w:divBdr>
    </w:div>
    <w:div w:id="1070884845">
      <w:bodyDiv w:val="1"/>
      <w:marLeft w:val="0"/>
      <w:marRight w:val="0"/>
      <w:marTop w:val="0"/>
      <w:marBottom w:val="0"/>
      <w:divBdr>
        <w:top w:val="none" w:sz="0" w:space="0" w:color="auto"/>
        <w:left w:val="none" w:sz="0" w:space="0" w:color="auto"/>
        <w:bottom w:val="none" w:sz="0" w:space="0" w:color="auto"/>
        <w:right w:val="none" w:sz="0" w:space="0" w:color="auto"/>
      </w:divBdr>
    </w:div>
    <w:div w:id="1078210819">
      <w:bodyDiv w:val="1"/>
      <w:marLeft w:val="0"/>
      <w:marRight w:val="0"/>
      <w:marTop w:val="0"/>
      <w:marBottom w:val="0"/>
      <w:divBdr>
        <w:top w:val="none" w:sz="0" w:space="0" w:color="auto"/>
        <w:left w:val="none" w:sz="0" w:space="0" w:color="auto"/>
        <w:bottom w:val="none" w:sz="0" w:space="0" w:color="auto"/>
        <w:right w:val="none" w:sz="0" w:space="0" w:color="auto"/>
      </w:divBdr>
    </w:div>
    <w:div w:id="1080642073">
      <w:bodyDiv w:val="1"/>
      <w:marLeft w:val="0"/>
      <w:marRight w:val="0"/>
      <w:marTop w:val="0"/>
      <w:marBottom w:val="0"/>
      <w:divBdr>
        <w:top w:val="none" w:sz="0" w:space="0" w:color="auto"/>
        <w:left w:val="none" w:sz="0" w:space="0" w:color="auto"/>
        <w:bottom w:val="none" w:sz="0" w:space="0" w:color="auto"/>
        <w:right w:val="none" w:sz="0" w:space="0" w:color="auto"/>
      </w:divBdr>
    </w:div>
    <w:div w:id="1083724508">
      <w:bodyDiv w:val="1"/>
      <w:marLeft w:val="0"/>
      <w:marRight w:val="0"/>
      <w:marTop w:val="0"/>
      <w:marBottom w:val="0"/>
      <w:divBdr>
        <w:top w:val="none" w:sz="0" w:space="0" w:color="auto"/>
        <w:left w:val="none" w:sz="0" w:space="0" w:color="auto"/>
        <w:bottom w:val="none" w:sz="0" w:space="0" w:color="auto"/>
        <w:right w:val="none" w:sz="0" w:space="0" w:color="auto"/>
      </w:divBdr>
    </w:div>
    <w:div w:id="1085570713">
      <w:bodyDiv w:val="1"/>
      <w:marLeft w:val="0"/>
      <w:marRight w:val="0"/>
      <w:marTop w:val="0"/>
      <w:marBottom w:val="0"/>
      <w:divBdr>
        <w:top w:val="none" w:sz="0" w:space="0" w:color="auto"/>
        <w:left w:val="none" w:sz="0" w:space="0" w:color="auto"/>
        <w:bottom w:val="none" w:sz="0" w:space="0" w:color="auto"/>
        <w:right w:val="none" w:sz="0" w:space="0" w:color="auto"/>
      </w:divBdr>
    </w:div>
    <w:div w:id="1101950254">
      <w:bodyDiv w:val="1"/>
      <w:marLeft w:val="0"/>
      <w:marRight w:val="0"/>
      <w:marTop w:val="0"/>
      <w:marBottom w:val="0"/>
      <w:divBdr>
        <w:top w:val="none" w:sz="0" w:space="0" w:color="auto"/>
        <w:left w:val="none" w:sz="0" w:space="0" w:color="auto"/>
        <w:bottom w:val="none" w:sz="0" w:space="0" w:color="auto"/>
        <w:right w:val="none" w:sz="0" w:space="0" w:color="auto"/>
      </w:divBdr>
    </w:div>
    <w:div w:id="1111900120">
      <w:bodyDiv w:val="1"/>
      <w:marLeft w:val="0"/>
      <w:marRight w:val="0"/>
      <w:marTop w:val="0"/>
      <w:marBottom w:val="0"/>
      <w:divBdr>
        <w:top w:val="none" w:sz="0" w:space="0" w:color="auto"/>
        <w:left w:val="none" w:sz="0" w:space="0" w:color="auto"/>
        <w:bottom w:val="none" w:sz="0" w:space="0" w:color="auto"/>
        <w:right w:val="none" w:sz="0" w:space="0" w:color="auto"/>
      </w:divBdr>
    </w:div>
    <w:div w:id="1130436603">
      <w:bodyDiv w:val="1"/>
      <w:marLeft w:val="0"/>
      <w:marRight w:val="0"/>
      <w:marTop w:val="0"/>
      <w:marBottom w:val="0"/>
      <w:divBdr>
        <w:top w:val="none" w:sz="0" w:space="0" w:color="auto"/>
        <w:left w:val="none" w:sz="0" w:space="0" w:color="auto"/>
        <w:bottom w:val="none" w:sz="0" w:space="0" w:color="auto"/>
        <w:right w:val="none" w:sz="0" w:space="0" w:color="auto"/>
      </w:divBdr>
    </w:div>
    <w:div w:id="1141848015">
      <w:bodyDiv w:val="1"/>
      <w:marLeft w:val="0"/>
      <w:marRight w:val="0"/>
      <w:marTop w:val="0"/>
      <w:marBottom w:val="0"/>
      <w:divBdr>
        <w:top w:val="none" w:sz="0" w:space="0" w:color="auto"/>
        <w:left w:val="none" w:sz="0" w:space="0" w:color="auto"/>
        <w:bottom w:val="none" w:sz="0" w:space="0" w:color="auto"/>
        <w:right w:val="none" w:sz="0" w:space="0" w:color="auto"/>
      </w:divBdr>
    </w:div>
    <w:div w:id="1188326397">
      <w:bodyDiv w:val="1"/>
      <w:marLeft w:val="0"/>
      <w:marRight w:val="0"/>
      <w:marTop w:val="0"/>
      <w:marBottom w:val="0"/>
      <w:divBdr>
        <w:top w:val="none" w:sz="0" w:space="0" w:color="auto"/>
        <w:left w:val="none" w:sz="0" w:space="0" w:color="auto"/>
        <w:bottom w:val="none" w:sz="0" w:space="0" w:color="auto"/>
        <w:right w:val="none" w:sz="0" w:space="0" w:color="auto"/>
      </w:divBdr>
    </w:div>
    <w:div w:id="1199850385">
      <w:bodyDiv w:val="1"/>
      <w:marLeft w:val="0"/>
      <w:marRight w:val="0"/>
      <w:marTop w:val="0"/>
      <w:marBottom w:val="0"/>
      <w:divBdr>
        <w:top w:val="none" w:sz="0" w:space="0" w:color="auto"/>
        <w:left w:val="none" w:sz="0" w:space="0" w:color="auto"/>
        <w:bottom w:val="none" w:sz="0" w:space="0" w:color="auto"/>
        <w:right w:val="none" w:sz="0" w:space="0" w:color="auto"/>
      </w:divBdr>
    </w:div>
    <w:div w:id="1209760196">
      <w:bodyDiv w:val="1"/>
      <w:marLeft w:val="0"/>
      <w:marRight w:val="0"/>
      <w:marTop w:val="0"/>
      <w:marBottom w:val="0"/>
      <w:divBdr>
        <w:top w:val="none" w:sz="0" w:space="0" w:color="auto"/>
        <w:left w:val="none" w:sz="0" w:space="0" w:color="auto"/>
        <w:bottom w:val="none" w:sz="0" w:space="0" w:color="auto"/>
        <w:right w:val="none" w:sz="0" w:space="0" w:color="auto"/>
      </w:divBdr>
    </w:div>
    <w:div w:id="1212032356">
      <w:bodyDiv w:val="1"/>
      <w:marLeft w:val="0"/>
      <w:marRight w:val="0"/>
      <w:marTop w:val="0"/>
      <w:marBottom w:val="0"/>
      <w:divBdr>
        <w:top w:val="none" w:sz="0" w:space="0" w:color="auto"/>
        <w:left w:val="none" w:sz="0" w:space="0" w:color="auto"/>
        <w:bottom w:val="none" w:sz="0" w:space="0" w:color="auto"/>
        <w:right w:val="none" w:sz="0" w:space="0" w:color="auto"/>
      </w:divBdr>
    </w:div>
    <w:div w:id="1220097017">
      <w:bodyDiv w:val="1"/>
      <w:marLeft w:val="0"/>
      <w:marRight w:val="0"/>
      <w:marTop w:val="0"/>
      <w:marBottom w:val="0"/>
      <w:divBdr>
        <w:top w:val="none" w:sz="0" w:space="0" w:color="auto"/>
        <w:left w:val="none" w:sz="0" w:space="0" w:color="auto"/>
        <w:bottom w:val="none" w:sz="0" w:space="0" w:color="auto"/>
        <w:right w:val="none" w:sz="0" w:space="0" w:color="auto"/>
      </w:divBdr>
    </w:div>
    <w:div w:id="1239553787">
      <w:bodyDiv w:val="1"/>
      <w:marLeft w:val="0"/>
      <w:marRight w:val="0"/>
      <w:marTop w:val="0"/>
      <w:marBottom w:val="0"/>
      <w:divBdr>
        <w:top w:val="none" w:sz="0" w:space="0" w:color="auto"/>
        <w:left w:val="none" w:sz="0" w:space="0" w:color="auto"/>
        <w:bottom w:val="none" w:sz="0" w:space="0" w:color="auto"/>
        <w:right w:val="none" w:sz="0" w:space="0" w:color="auto"/>
      </w:divBdr>
    </w:div>
    <w:div w:id="1242718497">
      <w:bodyDiv w:val="1"/>
      <w:marLeft w:val="0"/>
      <w:marRight w:val="0"/>
      <w:marTop w:val="0"/>
      <w:marBottom w:val="0"/>
      <w:divBdr>
        <w:top w:val="none" w:sz="0" w:space="0" w:color="auto"/>
        <w:left w:val="none" w:sz="0" w:space="0" w:color="auto"/>
        <w:bottom w:val="none" w:sz="0" w:space="0" w:color="auto"/>
        <w:right w:val="none" w:sz="0" w:space="0" w:color="auto"/>
      </w:divBdr>
    </w:div>
    <w:div w:id="1265646059">
      <w:bodyDiv w:val="1"/>
      <w:marLeft w:val="0"/>
      <w:marRight w:val="0"/>
      <w:marTop w:val="0"/>
      <w:marBottom w:val="0"/>
      <w:divBdr>
        <w:top w:val="none" w:sz="0" w:space="0" w:color="auto"/>
        <w:left w:val="none" w:sz="0" w:space="0" w:color="auto"/>
        <w:bottom w:val="none" w:sz="0" w:space="0" w:color="auto"/>
        <w:right w:val="none" w:sz="0" w:space="0" w:color="auto"/>
      </w:divBdr>
    </w:div>
    <w:div w:id="1298492469">
      <w:bodyDiv w:val="1"/>
      <w:marLeft w:val="0"/>
      <w:marRight w:val="0"/>
      <w:marTop w:val="0"/>
      <w:marBottom w:val="0"/>
      <w:divBdr>
        <w:top w:val="none" w:sz="0" w:space="0" w:color="auto"/>
        <w:left w:val="none" w:sz="0" w:space="0" w:color="auto"/>
        <w:bottom w:val="none" w:sz="0" w:space="0" w:color="auto"/>
        <w:right w:val="none" w:sz="0" w:space="0" w:color="auto"/>
      </w:divBdr>
    </w:div>
    <w:div w:id="1304891867">
      <w:bodyDiv w:val="1"/>
      <w:marLeft w:val="0"/>
      <w:marRight w:val="0"/>
      <w:marTop w:val="0"/>
      <w:marBottom w:val="0"/>
      <w:divBdr>
        <w:top w:val="none" w:sz="0" w:space="0" w:color="auto"/>
        <w:left w:val="none" w:sz="0" w:space="0" w:color="auto"/>
        <w:bottom w:val="none" w:sz="0" w:space="0" w:color="auto"/>
        <w:right w:val="none" w:sz="0" w:space="0" w:color="auto"/>
      </w:divBdr>
    </w:div>
    <w:div w:id="1313829975">
      <w:bodyDiv w:val="1"/>
      <w:marLeft w:val="0"/>
      <w:marRight w:val="0"/>
      <w:marTop w:val="0"/>
      <w:marBottom w:val="0"/>
      <w:divBdr>
        <w:top w:val="none" w:sz="0" w:space="0" w:color="auto"/>
        <w:left w:val="none" w:sz="0" w:space="0" w:color="auto"/>
        <w:bottom w:val="none" w:sz="0" w:space="0" w:color="auto"/>
        <w:right w:val="none" w:sz="0" w:space="0" w:color="auto"/>
      </w:divBdr>
    </w:div>
    <w:div w:id="1344940873">
      <w:bodyDiv w:val="1"/>
      <w:marLeft w:val="0"/>
      <w:marRight w:val="0"/>
      <w:marTop w:val="0"/>
      <w:marBottom w:val="0"/>
      <w:divBdr>
        <w:top w:val="none" w:sz="0" w:space="0" w:color="auto"/>
        <w:left w:val="none" w:sz="0" w:space="0" w:color="auto"/>
        <w:bottom w:val="none" w:sz="0" w:space="0" w:color="auto"/>
        <w:right w:val="none" w:sz="0" w:space="0" w:color="auto"/>
      </w:divBdr>
    </w:div>
    <w:div w:id="1352610393">
      <w:bodyDiv w:val="1"/>
      <w:marLeft w:val="0"/>
      <w:marRight w:val="0"/>
      <w:marTop w:val="0"/>
      <w:marBottom w:val="0"/>
      <w:divBdr>
        <w:top w:val="none" w:sz="0" w:space="0" w:color="auto"/>
        <w:left w:val="none" w:sz="0" w:space="0" w:color="auto"/>
        <w:bottom w:val="none" w:sz="0" w:space="0" w:color="auto"/>
        <w:right w:val="none" w:sz="0" w:space="0" w:color="auto"/>
      </w:divBdr>
    </w:div>
    <w:div w:id="1365979231">
      <w:bodyDiv w:val="1"/>
      <w:marLeft w:val="0"/>
      <w:marRight w:val="0"/>
      <w:marTop w:val="0"/>
      <w:marBottom w:val="0"/>
      <w:divBdr>
        <w:top w:val="none" w:sz="0" w:space="0" w:color="auto"/>
        <w:left w:val="none" w:sz="0" w:space="0" w:color="auto"/>
        <w:bottom w:val="none" w:sz="0" w:space="0" w:color="auto"/>
        <w:right w:val="none" w:sz="0" w:space="0" w:color="auto"/>
      </w:divBdr>
    </w:div>
    <w:div w:id="1366491272">
      <w:bodyDiv w:val="1"/>
      <w:marLeft w:val="0"/>
      <w:marRight w:val="0"/>
      <w:marTop w:val="0"/>
      <w:marBottom w:val="0"/>
      <w:divBdr>
        <w:top w:val="none" w:sz="0" w:space="0" w:color="auto"/>
        <w:left w:val="none" w:sz="0" w:space="0" w:color="auto"/>
        <w:bottom w:val="none" w:sz="0" w:space="0" w:color="auto"/>
        <w:right w:val="none" w:sz="0" w:space="0" w:color="auto"/>
      </w:divBdr>
    </w:div>
    <w:div w:id="1396079928">
      <w:bodyDiv w:val="1"/>
      <w:marLeft w:val="0"/>
      <w:marRight w:val="0"/>
      <w:marTop w:val="0"/>
      <w:marBottom w:val="0"/>
      <w:divBdr>
        <w:top w:val="none" w:sz="0" w:space="0" w:color="auto"/>
        <w:left w:val="none" w:sz="0" w:space="0" w:color="auto"/>
        <w:bottom w:val="none" w:sz="0" w:space="0" w:color="auto"/>
        <w:right w:val="none" w:sz="0" w:space="0" w:color="auto"/>
      </w:divBdr>
    </w:div>
    <w:div w:id="1402949930">
      <w:bodyDiv w:val="1"/>
      <w:marLeft w:val="0"/>
      <w:marRight w:val="0"/>
      <w:marTop w:val="0"/>
      <w:marBottom w:val="0"/>
      <w:divBdr>
        <w:top w:val="none" w:sz="0" w:space="0" w:color="auto"/>
        <w:left w:val="none" w:sz="0" w:space="0" w:color="auto"/>
        <w:bottom w:val="none" w:sz="0" w:space="0" w:color="auto"/>
        <w:right w:val="none" w:sz="0" w:space="0" w:color="auto"/>
      </w:divBdr>
    </w:div>
    <w:div w:id="1405713593">
      <w:bodyDiv w:val="1"/>
      <w:marLeft w:val="0"/>
      <w:marRight w:val="0"/>
      <w:marTop w:val="0"/>
      <w:marBottom w:val="0"/>
      <w:divBdr>
        <w:top w:val="none" w:sz="0" w:space="0" w:color="auto"/>
        <w:left w:val="none" w:sz="0" w:space="0" w:color="auto"/>
        <w:bottom w:val="none" w:sz="0" w:space="0" w:color="auto"/>
        <w:right w:val="none" w:sz="0" w:space="0" w:color="auto"/>
      </w:divBdr>
    </w:div>
    <w:div w:id="1409769652">
      <w:bodyDiv w:val="1"/>
      <w:marLeft w:val="0"/>
      <w:marRight w:val="0"/>
      <w:marTop w:val="0"/>
      <w:marBottom w:val="0"/>
      <w:divBdr>
        <w:top w:val="none" w:sz="0" w:space="0" w:color="auto"/>
        <w:left w:val="none" w:sz="0" w:space="0" w:color="auto"/>
        <w:bottom w:val="none" w:sz="0" w:space="0" w:color="auto"/>
        <w:right w:val="none" w:sz="0" w:space="0" w:color="auto"/>
      </w:divBdr>
    </w:div>
    <w:div w:id="1441993498">
      <w:bodyDiv w:val="1"/>
      <w:marLeft w:val="0"/>
      <w:marRight w:val="0"/>
      <w:marTop w:val="0"/>
      <w:marBottom w:val="0"/>
      <w:divBdr>
        <w:top w:val="none" w:sz="0" w:space="0" w:color="auto"/>
        <w:left w:val="none" w:sz="0" w:space="0" w:color="auto"/>
        <w:bottom w:val="none" w:sz="0" w:space="0" w:color="auto"/>
        <w:right w:val="none" w:sz="0" w:space="0" w:color="auto"/>
      </w:divBdr>
    </w:div>
    <w:div w:id="1450785159">
      <w:bodyDiv w:val="1"/>
      <w:marLeft w:val="0"/>
      <w:marRight w:val="0"/>
      <w:marTop w:val="0"/>
      <w:marBottom w:val="0"/>
      <w:divBdr>
        <w:top w:val="none" w:sz="0" w:space="0" w:color="auto"/>
        <w:left w:val="none" w:sz="0" w:space="0" w:color="auto"/>
        <w:bottom w:val="none" w:sz="0" w:space="0" w:color="auto"/>
        <w:right w:val="none" w:sz="0" w:space="0" w:color="auto"/>
      </w:divBdr>
    </w:div>
    <w:div w:id="1454859235">
      <w:bodyDiv w:val="1"/>
      <w:marLeft w:val="0"/>
      <w:marRight w:val="0"/>
      <w:marTop w:val="0"/>
      <w:marBottom w:val="0"/>
      <w:divBdr>
        <w:top w:val="none" w:sz="0" w:space="0" w:color="auto"/>
        <w:left w:val="none" w:sz="0" w:space="0" w:color="auto"/>
        <w:bottom w:val="none" w:sz="0" w:space="0" w:color="auto"/>
        <w:right w:val="none" w:sz="0" w:space="0" w:color="auto"/>
      </w:divBdr>
    </w:div>
    <w:div w:id="1465852759">
      <w:bodyDiv w:val="1"/>
      <w:marLeft w:val="0"/>
      <w:marRight w:val="0"/>
      <w:marTop w:val="0"/>
      <w:marBottom w:val="0"/>
      <w:divBdr>
        <w:top w:val="none" w:sz="0" w:space="0" w:color="auto"/>
        <w:left w:val="none" w:sz="0" w:space="0" w:color="auto"/>
        <w:bottom w:val="none" w:sz="0" w:space="0" w:color="auto"/>
        <w:right w:val="none" w:sz="0" w:space="0" w:color="auto"/>
      </w:divBdr>
    </w:div>
    <w:div w:id="1468622356">
      <w:bodyDiv w:val="1"/>
      <w:marLeft w:val="0"/>
      <w:marRight w:val="0"/>
      <w:marTop w:val="0"/>
      <w:marBottom w:val="0"/>
      <w:divBdr>
        <w:top w:val="none" w:sz="0" w:space="0" w:color="auto"/>
        <w:left w:val="none" w:sz="0" w:space="0" w:color="auto"/>
        <w:bottom w:val="none" w:sz="0" w:space="0" w:color="auto"/>
        <w:right w:val="none" w:sz="0" w:space="0" w:color="auto"/>
      </w:divBdr>
    </w:div>
    <w:div w:id="1482648725">
      <w:bodyDiv w:val="1"/>
      <w:marLeft w:val="0"/>
      <w:marRight w:val="0"/>
      <w:marTop w:val="0"/>
      <w:marBottom w:val="0"/>
      <w:divBdr>
        <w:top w:val="none" w:sz="0" w:space="0" w:color="auto"/>
        <w:left w:val="none" w:sz="0" w:space="0" w:color="auto"/>
        <w:bottom w:val="none" w:sz="0" w:space="0" w:color="auto"/>
        <w:right w:val="none" w:sz="0" w:space="0" w:color="auto"/>
      </w:divBdr>
    </w:div>
    <w:div w:id="1506287241">
      <w:bodyDiv w:val="1"/>
      <w:marLeft w:val="0"/>
      <w:marRight w:val="0"/>
      <w:marTop w:val="0"/>
      <w:marBottom w:val="0"/>
      <w:divBdr>
        <w:top w:val="none" w:sz="0" w:space="0" w:color="auto"/>
        <w:left w:val="none" w:sz="0" w:space="0" w:color="auto"/>
        <w:bottom w:val="none" w:sz="0" w:space="0" w:color="auto"/>
        <w:right w:val="none" w:sz="0" w:space="0" w:color="auto"/>
      </w:divBdr>
    </w:div>
    <w:div w:id="1510756556">
      <w:bodyDiv w:val="1"/>
      <w:marLeft w:val="0"/>
      <w:marRight w:val="0"/>
      <w:marTop w:val="0"/>
      <w:marBottom w:val="0"/>
      <w:divBdr>
        <w:top w:val="none" w:sz="0" w:space="0" w:color="auto"/>
        <w:left w:val="none" w:sz="0" w:space="0" w:color="auto"/>
        <w:bottom w:val="none" w:sz="0" w:space="0" w:color="auto"/>
        <w:right w:val="none" w:sz="0" w:space="0" w:color="auto"/>
      </w:divBdr>
    </w:div>
    <w:div w:id="1513573329">
      <w:bodyDiv w:val="1"/>
      <w:marLeft w:val="0"/>
      <w:marRight w:val="0"/>
      <w:marTop w:val="0"/>
      <w:marBottom w:val="0"/>
      <w:divBdr>
        <w:top w:val="none" w:sz="0" w:space="0" w:color="auto"/>
        <w:left w:val="none" w:sz="0" w:space="0" w:color="auto"/>
        <w:bottom w:val="none" w:sz="0" w:space="0" w:color="auto"/>
        <w:right w:val="none" w:sz="0" w:space="0" w:color="auto"/>
      </w:divBdr>
    </w:div>
    <w:div w:id="1513761063">
      <w:bodyDiv w:val="1"/>
      <w:marLeft w:val="0"/>
      <w:marRight w:val="0"/>
      <w:marTop w:val="0"/>
      <w:marBottom w:val="0"/>
      <w:divBdr>
        <w:top w:val="none" w:sz="0" w:space="0" w:color="auto"/>
        <w:left w:val="none" w:sz="0" w:space="0" w:color="auto"/>
        <w:bottom w:val="none" w:sz="0" w:space="0" w:color="auto"/>
        <w:right w:val="none" w:sz="0" w:space="0" w:color="auto"/>
      </w:divBdr>
    </w:div>
    <w:div w:id="1518621424">
      <w:bodyDiv w:val="1"/>
      <w:marLeft w:val="0"/>
      <w:marRight w:val="0"/>
      <w:marTop w:val="0"/>
      <w:marBottom w:val="0"/>
      <w:divBdr>
        <w:top w:val="none" w:sz="0" w:space="0" w:color="auto"/>
        <w:left w:val="none" w:sz="0" w:space="0" w:color="auto"/>
        <w:bottom w:val="none" w:sz="0" w:space="0" w:color="auto"/>
        <w:right w:val="none" w:sz="0" w:space="0" w:color="auto"/>
      </w:divBdr>
    </w:div>
    <w:div w:id="1537235072">
      <w:bodyDiv w:val="1"/>
      <w:marLeft w:val="0"/>
      <w:marRight w:val="0"/>
      <w:marTop w:val="0"/>
      <w:marBottom w:val="0"/>
      <w:divBdr>
        <w:top w:val="none" w:sz="0" w:space="0" w:color="auto"/>
        <w:left w:val="none" w:sz="0" w:space="0" w:color="auto"/>
        <w:bottom w:val="none" w:sz="0" w:space="0" w:color="auto"/>
        <w:right w:val="none" w:sz="0" w:space="0" w:color="auto"/>
      </w:divBdr>
    </w:div>
    <w:div w:id="1540121786">
      <w:bodyDiv w:val="1"/>
      <w:marLeft w:val="0"/>
      <w:marRight w:val="0"/>
      <w:marTop w:val="0"/>
      <w:marBottom w:val="0"/>
      <w:divBdr>
        <w:top w:val="none" w:sz="0" w:space="0" w:color="auto"/>
        <w:left w:val="none" w:sz="0" w:space="0" w:color="auto"/>
        <w:bottom w:val="none" w:sz="0" w:space="0" w:color="auto"/>
        <w:right w:val="none" w:sz="0" w:space="0" w:color="auto"/>
      </w:divBdr>
    </w:div>
    <w:div w:id="1596203685">
      <w:bodyDiv w:val="1"/>
      <w:marLeft w:val="0"/>
      <w:marRight w:val="0"/>
      <w:marTop w:val="0"/>
      <w:marBottom w:val="0"/>
      <w:divBdr>
        <w:top w:val="none" w:sz="0" w:space="0" w:color="auto"/>
        <w:left w:val="none" w:sz="0" w:space="0" w:color="auto"/>
        <w:bottom w:val="none" w:sz="0" w:space="0" w:color="auto"/>
        <w:right w:val="none" w:sz="0" w:space="0" w:color="auto"/>
      </w:divBdr>
    </w:div>
    <w:div w:id="1630088968">
      <w:bodyDiv w:val="1"/>
      <w:marLeft w:val="0"/>
      <w:marRight w:val="0"/>
      <w:marTop w:val="0"/>
      <w:marBottom w:val="0"/>
      <w:divBdr>
        <w:top w:val="none" w:sz="0" w:space="0" w:color="auto"/>
        <w:left w:val="none" w:sz="0" w:space="0" w:color="auto"/>
        <w:bottom w:val="none" w:sz="0" w:space="0" w:color="auto"/>
        <w:right w:val="none" w:sz="0" w:space="0" w:color="auto"/>
      </w:divBdr>
    </w:div>
    <w:div w:id="1630165215">
      <w:bodyDiv w:val="1"/>
      <w:marLeft w:val="0"/>
      <w:marRight w:val="0"/>
      <w:marTop w:val="0"/>
      <w:marBottom w:val="0"/>
      <w:divBdr>
        <w:top w:val="none" w:sz="0" w:space="0" w:color="auto"/>
        <w:left w:val="none" w:sz="0" w:space="0" w:color="auto"/>
        <w:bottom w:val="none" w:sz="0" w:space="0" w:color="auto"/>
        <w:right w:val="none" w:sz="0" w:space="0" w:color="auto"/>
      </w:divBdr>
    </w:div>
    <w:div w:id="1632781169">
      <w:bodyDiv w:val="1"/>
      <w:marLeft w:val="0"/>
      <w:marRight w:val="0"/>
      <w:marTop w:val="0"/>
      <w:marBottom w:val="0"/>
      <w:divBdr>
        <w:top w:val="none" w:sz="0" w:space="0" w:color="auto"/>
        <w:left w:val="none" w:sz="0" w:space="0" w:color="auto"/>
        <w:bottom w:val="none" w:sz="0" w:space="0" w:color="auto"/>
        <w:right w:val="none" w:sz="0" w:space="0" w:color="auto"/>
      </w:divBdr>
    </w:div>
    <w:div w:id="1655177309">
      <w:bodyDiv w:val="1"/>
      <w:marLeft w:val="0"/>
      <w:marRight w:val="0"/>
      <w:marTop w:val="0"/>
      <w:marBottom w:val="0"/>
      <w:divBdr>
        <w:top w:val="none" w:sz="0" w:space="0" w:color="auto"/>
        <w:left w:val="none" w:sz="0" w:space="0" w:color="auto"/>
        <w:bottom w:val="none" w:sz="0" w:space="0" w:color="auto"/>
        <w:right w:val="none" w:sz="0" w:space="0" w:color="auto"/>
      </w:divBdr>
    </w:div>
    <w:div w:id="1665745083">
      <w:bodyDiv w:val="1"/>
      <w:marLeft w:val="0"/>
      <w:marRight w:val="0"/>
      <w:marTop w:val="0"/>
      <w:marBottom w:val="0"/>
      <w:divBdr>
        <w:top w:val="none" w:sz="0" w:space="0" w:color="auto"/>
        <w:left w:val="none" w:sz="0" w:space="0" w:color="auto"/>
        <w:bottom w:val="none" w:sz="0" w:space="0" w:color="auto"/>
        <w:right w:val="none" w:sz="0" w:space="0" w:color="auto"/>
      </w:divBdr>
    </w:div>
    <w:div w:id="1667048480">
      <w:bodyDiv w:val="1"/>
      <w:marLeft w:val="0"/>
      <w:marRight w:val="0"/>
      <w:marTop w:val="0"/>
      <w:marBottom w:val="0"/>
      <w:divBdr>
        <w:top w:val="none" w:sz="0" w:space="0" w:color="auto"/>
        <w:left w:val="none" w:sz="0" w:space="0" w:color="auto"/>
        <w:bottom w:val="none" w:sz="0" w:space="0" w:color="auto"/>
        <w:right w:val="none" w:sz="0" w:space="0" w:color="auto"/>
      </w:divBdr>
    </w:div>
    <w:div w:id="1670060121">
      <w:bodyDiv w:val="1"/>
      <w:marLeft w:val="0"/>
      <w:marRight w:val="0"/>
      <w:marTop w:val="0"/>
      <w:marBottom w:val="0"/>
      <w:divBdr>
        <w:top w:val="none" w:sz="0" w:space="0" w:color="auto"/>
        <w:left w:val="none" w:sz="0" w:space="0" w:color="auto"/>
        <w:bottom w:val="none" w:sz="0" w:space="0" w:color="auto"/>
        <w:right w:val="none" w:sz="0" w:space="0" w:color="auto"/>
      </w:divBdr>
    </w:div>
    <w:div w:id="1680156457">
      <w:bodyDiv w:val="1"/>
      <w:marLeft w:val="0"/>
      <w:marRight w:val="0"/>
      <w:marTop w:val="0"/>
      <w:marBottom w:val="0"/>
      <w:divBdr>
        <w:top w:val="none" w:sz="0" w:space="0" w:color="auto"/>
        <w:left w:val="none" w:sz="0" w:space="0" w:color="auto"/>
        <w:bottom w:val="none" w:sz="0" w:space="0" w:color="auto"/>
        <w:right w:val="none" w:sz="0" w:space="0" w:color="auto"/>
      </w:divBdr>
    </w:div>
    <w:div w:id="1682200732">
      <w:bodyDiv w:val="1"/>
      <w:marLeft w:val="0"/>
      <w:marRight w:val="0"/>
      <w:marTop w:val="0"/>
      <w:marBottom w:val="0"/>
      <w:divBdr>
        <w:top w:val="none" w:sz="0" w:space="0" w:color="auto"/>
        <w:left w:val="none" w:sz="0" w:space="0" w:color="auto"/>
        <w:bottom w:val="none" w:sz="0" w:space="0" w:color="auto"/>
        <w:right w:val="none" w:sz="0" w:space="0" w:color="auto"/>
      </w:divBdr>
    </w:div>
    <w:div w:id="1684361339">
      <w:bodyDiv w:val="1"/>
      <w:marLeft w:val="0"/>
      <w:marRight w:val="0"/>
      <w:marTop w:val="0"/>
      <w:marBottom w:val="0"/>
      <w:divBdr>
        <w:top w:val="none" w:sz="0" w:space="0" w:color="auto"/>
        <w:left w:val="none" w:sz="0" w:space="0" w:color="auto"/>
        <w:bottom w:val="none" w:sz="0" w:space="0" w:color="auto"/>
        <w:right w:val="none" w:sz="0" w:space="0" w:color="auto"/>
      </w:divBdr>
    </w:div>
    <w:div w:id="1696494435">
      <w:bodyDiv w:val="1"/>
      <w:marLeft w:val="0"/>
      <w:marRight w:val="0"/>
      <w:marTop w:val="0"/>
      <w:marBottom w:val="0"/>
      <w:divBdr>
        <w:top w:val="none" w:sz="0" w:space="0" w:color="auto"/>
        <w:left w:val="none" w:sz="0" w:space="0" w:color="auto"/>
        <w:bottom w:val="none" w:sz="0" w:space="0" w:color="auto"/>
        <w:right w:val="none" w:sz="0" w:space="0" w:color="auto"/>
      </w:divBdr>
    </w:div>
    <w:div w:id="1729457197">
      <w:bodyDiv w:val="1"/>
      <w:marLeft w:val="0"/>
      <w:marRight w:val="0"/>
      <w:marTop w:val="0"/>
      <w:marBottom w:val="0"/>
      <w:divBdr>
        <w:top w:val="none" w:sz="0" w:space="0" w:color="auto"/>
        <w:left w:val="none" w:sz="0" w:space="0" w:color="auto"/>
        <w:bottom w:val="none" w:sz="0" w:space="0" w:color="auto"/>
        <w:right w:val="none" w:sz="0" w:space="0" w:color="auto"/>
      </w:divBdr>
    </w:div>
    <w:div w:id="1735618987">
      <w:bodyDiv w:val="1"/>
      <w:marLeft w:val="0"/>
      <w:marRight w:val="0"/>
      <w:marTop w:val="0"/>
      <w:marBottom w:val="0"/>
      <w:divBdr>
        <w:top w:val="none" w:sz="0" w:space="0" w:color="auto"/>
        <w:left w:val="none" w:sz="0" w:space="0" w:color="auto"/>
        <w:bottom w:val="none" w:sz="0" w:space="0" w:color="auto"/>
        <w:right w:val="none" w:sz="0" w:space="0" w:color="auto"/>
      </w:divBdr>
    </w:div>
    <w:div w:id="1736854967">
      <w:bodyDiv w:val="1"/>
      <w:marLeft w:val="0"/>
      <w:marRight w:val="0"/>
      <w:marTop w:val="0"/>
      <w:marBottom w:val="0"/>
      <w:divBdr>
        <w:top w:val="none" w:sz="0" w:space="0" w:color="auto"/>
        <w:left w:val="none" w:sz="0" w:space="0" w:color="auto"/>
        <w:bottom w:val="none" w:sz="0" w:space="0" w:color="auto"/>
        <w:right w:val="none" w:sz="0" w:space="0" w:color="auto"/>
      </w:divBdr>
    </w:div>
    <w:div w:id="1747648522">
      <w:bodyDiv w:val="1"/>
      <w:marLeft w:val="0"/>
      <w:marRight w:val="0"/>
      <w:marTop w:val="0"/>
      <w:marBottom w:val="0"/>
      <w:divBdr>
        <w:top w:val="none" w:sz="0" w:space="0" w:color="auto"/>
        <w:left w:val="none" w:sz="0" w:space="0" w:color="auto"/>
        <w:bottom w:val="none" w:sz="0" w:space="0" w:color="auto"/>
        <w:right w:val="none" w:sz="0" w:space="0" w:color="auto"/>
      </w:divBdr>
    </w:div>
    <w:div w:id="1748845432">
      <w:bodyDiv w:val="1"/>
      <w:marLeft w:val="0"/>
      <w:marRight w:val="0"/>
      <w:marTop w:val="0"/>
      <w:marBottom w:val="0"/>
      <w:divBdr>
        <w:top w:val="none" w:sz="0" w:space="0" w:color="auto"/>
        <w:left w:val="none" w:sz="0" w:space="0" w:color="auto"/>
        <w:bottom w:val="none" w:sz="0" w:space="0" w:color="auto"/>
        <w:right w:val="none" w:sz="0" w:space="0" w:color="auto"/>
      </w:divBdr>
    </w:div>
    <w:div w:id="1749620272">
      <w:bodyDiv w:val="1"/>
      <w:marLeft w:val="0"/>
      <w:marRight w:val="0"/>
      <w:marTop w:val="0"/>
      <w:marBottom w:val="0"/>
      <w:divBdr>
        <w:top w:val="none" w:sz="0" w:space="0" w:color="auto"/>
        <w:left w:val="none" w:sz="0" w:space="0" w:color="auto"/>
        <w:bottom w:val="none" w:sz="0" w:space="0" w:color="auto"/>
        <w:right w:val="none" w:sz="0" w:space="0" w:color="auto"/>
      </w:divBdr>
    </w:div>
    <w:div w:id="1759326993">
      <w:bodyDiv w:val="1"/>
      <w:marLeft w:val="0"/>
      <w:marRight w:val="0"/>
      <w:marTop w:val="0"/>
      <w:marBottom w:val="0"/>
      <w:divBdr>
        <w:top w:val="none" w:sz="0" w:space="0" w:color="auto"/>
        <w:left w:val="none" w:sz="0" w:space="0" w:color="auto"/>
        <w:bottom w:val="none" w:sz="0" w:space="0" w:color="auto"/>
        <w:right w:val="none" w:sz="0" w:space="0" w:color="auto"/>
      </w:divBdr>
    </w:div>
    <w:div w:id="1764454990">
      <w:bodyDiv w:val="1"/>
      <w:marLeft w:val="0"/>
      <w:marRight w:val="0"/>
      <w:marTop w:val="0"/>
      <w:marBottom w:val="0"/>
      <w:divBdr>
        <w:top w:val="none" w:sz="0" w:space="0" w:color="auto"/>
        <w:left w:val="none" w:sz="0" w:space="0" w:color="auto"/>
        <w:bottom w:val="none" w:sz="0" w:space="0" w:color="auto"/>
        <w:right w:val="none" w:sz="0" w:space="0" w:color="auto"/>
      </w:divBdr>
    </w:div>
    <w:div w:id="1770157084">
      <w:bodyDiv w:val="1"/>
      <w:marLeft w:val="0"/>
      <w:marRight w:val="0"/>
      <w:marTop w:val="0"/>
      <w:marBottom w:val="0"/>
      <w:divBdr>
        <w:top w:val="none" w:sz="0" w:space="0" w:color="auto"/>
        <w:left w:val="none" w:sz="0" w:space="0" w:color="auto"/>
        <w:bottom w:val="none" w:sz="0" w:space="0" w:color="auto"/>
        <w:right w:val="none" w:sz="0" w:space="0" w:color="auto"/>
      </w:divBdr>
    </w:div>
    <w:div w:id="1773891291">
      <w:bodyDiv w:val="1"/>
      <w:marLeft w:val="0"/>
      <w:marRight w:val="0"/>
      <w:marTop w:val="0"/>
      <w:marBottom w:val="0"/>
      <w:divBdr>
        <w:top w:val="none" w:sz="0" w:space="0" w:color="auto"/>
        <w:left w:val="none" w:sz="0" w:space="0" w:color="auto"/>
        <w:bottom w:val="none" w:sz="0" w:space="0" w:color="auto"/>
        <w:right w:val="none" w:sz="0" w:space="0" w:color="auto"/>
      </w:divBdr>
    </w:div>
    <w:div w:id="1782069511">
      <w:bodyDiv w:val="1"/>
      <w:marLeft w:val="0"/>
      <w:marRight w:val="0"/>
      <w:marTop w:val="0"/>
      <w:marBottom w:val="0"/>
      <w:divBdr>
        <w:top w:val="none" w:sz="0" w:space="0" w:color="auto"/>
        <w:left w:val="none" w:sz="0" w:space="0" w:color="auto"/>
        <w:bottom w:val="none" w:sz="0" w:space="0" w:color="auto"/>
        <w:right w:val="none" w:sz="0" w:space="0" w:color="auto"/>
      </w:divBdr>
    </w:div>
    <w:div w:id="1801410534">
      <w:bodyDiv w:val="1"/>
      <w:marLeft w:val="0"/>
      <w:marRight w:val="0"/>
      <w:marTop w:val="0"/>
      <w:marBottom w:val="0"/>
      <w:divBdr>
        <w:top w:val="none" w:sz="0" w:space="0" w:color="auto"/>
        <w:left w:val="none" w:sz="0" w:space="0" w:color="auto"/>
        <w:bottom w:val="none" w:sz="0" w:space="0" w:color="auto"/>
        <w:right w:val="none" w:sz="0" w:space="0" w:color="auto"/>
      </w:divBdr>
    </w:div>
    <w:div w:id="1803188018">
      <w:bodyDiv w:val="1"/>
      <w:marLeft w:val="0"/>
      <w:marRight w:val="0"/>
      <w:marTop w:val="0"/>
      <w:marBottom w:val="0"/>
      <w:divBdr>
        <w:top w:val="none" w:sz="0" w:space="0" w:color="auto"/>
        <w:left w:val="none" w:sz="0" w:space="0" w:color="auto"/>
        <w:bottom w:val="none" w:sz="0" w:space="0" w:color="auto"/>
        <w:right w:val="none" w:sz="0" w:space="0" w:color="auto"/>
      </w:divBdr>
    </w:div>
    <w:div w:id="1804497294">
      <w:bodyDiv w:val="1"/>
      <w:marLeft w:val="0"/>
      <w:marRight w:val="0"/>
      <w:marTop w:val="0"/>
      <w:marBottom w:val="0"/>
      <w:divBdr>
        <w:top w:val="none" w:sz="0" w:space="0" w:color="auto"/>
        <w:left w:val="none" w:sz="0" w:space="0" w:color="auto"/>
        <w:bottom w:val="none" w:sz="0" w:space="0" w:color="auto"/>
        <w:right w:val="none" w:sz="0" w:space="0" w:color="auto"/>
      </w:divBdr>
    </w:div>
    <w:div w:id="1829662183">
      <w:bodyDiv w:val="1"/>
      <w:marLeft w:val="0"/>
      <w:marRight w:val="0"/>
      <w:marTop w:val="0"/>
      <w:marBottom w:val="0"/>
      <w:divBdr>
        <w:top w:val="none" w:sz="0" w:space="0" w:color="auto"/>
        <w:left w:val="none" w:sz="0" w:space="0" w:color="auto"/>
        <w:bottom w:val="none" w:sz="0" w:space="0" w:color="auto"/>
        <w:right w:val="none" w:sz="0" w:space="0" w:color="auto"/>
      </w:divBdr>
    </w:div>
    <w:div w:id="1846821600">
      <w:bodyDiv w:val="1"/>
      <w:marLeft w:val="0"/>
      <w:marRight w:val="0"/>
      <w:marTop w:val="0"/>
      <w:marBottom w:val="0"/>
      <w:divBdr>
        <w:top w:val="none" w:sz="0" w:space="0" w:color="auto"/>
        <w:left w:val="none" w:sz="0" w:space="0" w:color="auto"/>
        <w:bottom w:val="none" w:sz="0" w:space="0" w:color="auto"/>
        <w:right w:val="none" w:sz="0" w:space="0" w:color="auto"/>
      </w:divBdr>
    </w:div>
    <w:div w:id="1850411789">
      <w:bodyDiv w:val="1"/>
      <w:marLeft w:val="0"/>
      <w:marRight w:val="0"/>
      <w:marTop w:val="0"/>
      <w:marBottom w:val="0"/>
      <w:divBdr>
        <w:top w:val="none" w:sz="0" w:space="0" w:color="auto"/>
        <w:left w:val="none" w:sz="0" w:space="0" w:color="auto"/>
        <w:bottom w:val="none" w:sz="0" w:space="0" w:color="auto"/>
        <w:right w:val="none" w:sz="0" w:space="0" w:color="auto"/>
      </w:divBdr>
    </w:div>
    <w:div w:id="1851748121">
      <w:bodyDiv w:val="1"/>
      <w:marLeft w:val="0"/>
      <w:marRight w:val="0"/>
      <w:marTop w:val="0"/>
      <w:marBottom w:val="0"/>
      <w:divBdr>
        <w:top w:val="none" w:sz="0" w:space="0" w:color="auto"/>
        <w:left w:val="none" w:sz="0" w:space="0" w:color="auto"/>
        <w:bottom w:val="none" w:sz="0" w:space="0" w:color="auto"/>
        <w:right w:val="none" w:sz="0" w:space="0" w:color="auto"/>
      </w:divBdr>
    </w:div>
    <w:div w:id="1889873305">
      <w:bodyDiv w:val="1"/>
      <w:marLeft w:val="0"/>
      <w:marRight w:val="0"/>
      <w:marTop w:val="0"/>
      <w:marBottom w:val="0"/>
      <w:divBdr>
        <w:top w:val="none" w:sz="0" w:space="0" w:color="auto"/>
        <w:left w:val="none" w:sz="0" w:space="0" w:color="auto"/>
        <w:bottom w:val="none" w:sz="0" w:space="0" w:color="auto"/>
        <w:right w:val="none" w:sz="0" w:space="0" w:color="auto"/>
      </w:divBdr>
    </w:div>
    <w:div w:id="1904364212">
      <w:bodyDiv w:val="1"/>
      <w:marLeft w:val="0"/>
      <w:marRight w:val="0"/>
      <w:marTop w:val="0"/>
      <w:marBottom w:val="0"/>
      <w:divBdr>
        <w:top w:val="none" w:sz="0" w:space="0" w:color="auto"/>
        <w:left w:val="none" w:sz="0" w:space="0" w:color="auto"/>
        <w:bottom w:val="none" w:sz="0" w:space="0" w:color="auto"/>
        <w:right w:val="none" w:sz="0" w:space="0" w:color="auto"/>
      </w:divBdr>
    </w:div>
    <w:div w:id="1922451423">
      <w:bodyDiv w:val="1"/>
      <w:marLeft w:val="0"/>
      <w:marRight w:val="0"/>
      <w:marTop w:val="0"/>
      <w:marBottom w:val="0"/>
      <w:divBdr>
        <w:top w:val="none" w:sz="0" w:space="0" w:color="auto"/>
        <w:left w:val="none" w:sz="0" w:space="0" w:color="auto"/>
        <w:bottom w:val="none" w:sz="0" w:space="0" w:color="auto"/>
        <w:right w:val="none" w:sz="0" w:space="0" w:color="auto"/>
      </w:divBdr>
    </w:div>
    <w:div w:id="1924414264">
      <w:bodyDiv w:val="1"/>
      <w:marLeft w:val="0"/>
      <w:marRight w:val="0"/>
      <w:marTop w:val="0"/>
      <w:marBottom w:val="0"/>
      <w:divBdr>
        <w:top w:val="none" w:sz="0" w:space="0" w:color="auto"/>
        <w:left w:val="none" w:sz="0" w:space="0" w:color="auto"/>
        <w:bottom w:val="none" w:sz="0" w:space="0" w:color="auto"/>
        <w:right w:val="none" w:sz="0" w:space="0" w:color="auto"/>
      </w:divBdr>
    </w:div>
    <w:div w:id="1924606248">
      <w:bodyDiv w:val="1"/>
      <w:marLeft w:val="0"/>
      <w:marRight w:val="0"/>
      <w:marTop w:val="0"/>
      <w:marBottom w:val="0"/>
      <w:divBdr>
        <w:top w:val="none" w:sz="0" w:space="0" w:color="auto"/>
        <w:left w:val="none" w:sz="0" w:space="0" w:color="auto"/>
        <w:bottom w:val="none" w:sz="0" w:space="0" w:color="auto"/>
        <w:right w:val="none" w:sz="0" w:space="0" w:color="auto"/>
      </w:divBdr>
    </w:div>
    <w:div w:id="1926642088">
      <w:bodyDiv w:val="1"/>
      <w:marLeft w:val="0"/>
      <w:marRight w:val="0"/>
      <w:marTop w:val="0"/>
      <w:marBottom w:val="0"/>
      <w:divBdr>
        <w:top w:val="none" w:sz="0" w:space="0" w:color="auto"/>
        <w:left w:val="none" w:sz="0" w:space="0" w:color="auto"/>
        <w:bottom w:val="none" w:sz="0" w:space="0" w:color="auto"/>
        <w:right w:val="none" w:sz="0" w:space="0" w:color="auto"/>
      </w:divBdr>
    </w:div>
    <w:div w:id="1932928320">
      <w:bodyDiv w:val="1"/>
      <w:marLeft w:val="0"/>
      <w:marRight w:val="0"/>
      <w:marTop w:val="0"/>
      <w:marBottom w:val="0"/>
      <w:divBdr>
        <w:top w:val="none" w:sz="0" w:space="0" w:color="auto"/>
        <w:left w:val="none" w:sz="0" w:space="0" w:color="auto"/>
        <w:bottom w:val="none" w:sz="0" w:space="0" w:color="auto"/>
        <w:right w:val="none" w:sz="0" w:space="0" w:color="auto"/>
      </w:divBdr>
    </w:div>
    <w:div w:id="1969043744">
      <w:bodyDiv w:val="1"/>
      <w:marLeft w:val="0"/>
      <w:marRight w:val="0"/>
      <w:marTop w:val="0"/>
      <w:marBottom w:val="0"/>
      <w:divBdr>
        <w:top w:val="none" w:sz="0" w:space="0" w:color="auto"/>
        <w:left w:val="none" w:sz="0" w:space="0" w:color="auto"/>
        <w:bottom w:val="none" w:sz="0" w:space="0" w:color="auto"/>
        <w:right w:val="none" w:sz="0" w:space="0" w:color="auto"/>
      </w:divBdr>
    </w:div>
    <w:div w:id="1981493772">
      <w:bodyDiv w:val="1"/>
      <w:marLeft w:val="0"/>
      <w:marRight w:val="0"/>
      <w:marTop w:val="0"/>
      <w:marBottom w:val="0"/>
      <w:divBdr>
        <w:top w:val="none" w:sz="0" w:space="0" w:color="auto"/>
        <w:left w:val="none" w:sz="0" w:space="0" w:color="auto"/>
        <w:bottom w:val="none" w:sz="0" w:space="0" w:color="auto"/>
        <w:right w:val="none" w:sz="0" w:space="0" w:color="auto"/>
      </w:divBdr>
    </w:div>
    <w:div w:id="1993290676">
      <w:bodyDiv w:val="1"/>
      <w:marLeft w:val="0"/>
      <w:marRight w:val="0"/>
      <w:marTop w:val="0"/>
      <w:marBottom w:val="0"/>
      <w:divBdr>
        <w:top w:val="none" w:sz="0" w:space="0" w:color="auto"/>
        <w:left w:val="none" w:sz="0" w:space="0" w:color="auto"/>
        <w:bottom w:val="none" w:sz="0" w:space="0" w:color="auto"/>
        <w:right w:val="none" w:sz="0" w:space="0" w:color="auto"/>
      </w:divBdr>
    </w:div>
    <w:div w:id="1995256728">
      <w:bodyDiv w:val="1"/>
      <w:marLeft w:val="0"/>
      <w:marRight w:val="0"/>
      <w:marTop w:val="0"/>
      <w:marBottom w:val="0"/>
      <w:divBdr>
        <w:top w:val="none" w:sz="0" w:space="0" w:color="auto"/>
        <w:left w:val="none" w:sz="0" w:space="0" w:color="auto"/>
        <w:bottom w:val="none" w:sz="0" w:space="0" w:color="auto"/>
        <w:right w:val="none" w:sz="0" w:space="0" w:color="auto"/>
      </w:divBdr>
    </w:div>
    <w:div w:id="2012639961">
      <w:bodyDiv w:val="1"/>
      <w:marLeft w:val="0"/>
      <w:marRight w:val="0"/>
      <w:marTop w:val="0"/>
      <w:marBottom w:val="0"/>
      <w:divBdr>
        <w:top w:val="none" w:sz="0" w:space="0" w:color="auto"/>
        <w:left w:val="none" w:sz="0" w:space="0" w:color="auto"/>
        <w:bottom w:val="none" w:sz="0" w:space="0" w:color="auto"/>
        <w:right w:val="none" w:sz="0" w:space="0" w:color="auto"/>
      </w:divBdr>
    </w:div>
    <w:div w:id="2044750901">
      <w:bodyDiv w:val="1"/>
      <w:marLeft w:val="0"/>
      <w:marRight w:val="0"/>
      <w:marTop w:val="0"/>
      <w:marBottom w:val="0"/>
      <w:divBdr>
        <w:top w:val="none" w:sz="0" w:space="0" w:color="auto"/>
        <w:left w:val="none" w:sz="0" w:space="0" w:color="auto"/>
        <w:bottom w:val="none" w:sz="0" w:space="0" w:color="auto"/>
        <w:right w:val="none" w:sz="0" w:space="0" w:color="auto"/>
      </w:divBdr>
    </w:div>
    <w:div w:id="2057730371">
      <w:bodyDiv w:val="1"/>
      <w:marLeft w:val="0"/>
      <w:marRight w:val="0"/>
      <w:marTop w:val="0"/>
      <w:marBottom w:val="0"/>
      <w:divBdr>
        <w:top w:val="none" w:sz="0" w:space="0" w:color="auto"/>
        <w:left w:val="none" w:sz="0" w:space="0" w:color="auto"/>
        <w:bottom w:val="none" w:sz="0" w:space="0" w:color="auto"/>
        <w:right w:val="none" w:sz="0" w:space="0" w:color="auto"/>
      </w:divBdr>
    </w:div>
    <w:div w:id="2078621899">
      <w:bodyDiv w:val="1"/>
      <w:marLeft w:val="0"/>
      <w:marRight w:val="0"/>
      <w:marTop w:val="0"/>
      <w:marBottom w:val="0"/>
      <w:divBdr>
        <w:top w:val="none" w:sz="0" w:space="0" w:color="auto"/>
        <w:left w:val="none" w:sz="0" w:space="0" w:color="auto"/>
        <w:bottom w:val="none" w:sz="0" w:space="0" w:color="auto"/>
        <w:right w:val="none" w:sz="0" w:space="0" w:color="auto"/>
      </w:divBdr>
    </w:div>
    <w:div w:id="2088845773">
      <w:bodyDiv w:val="1"/>
      <w:marLeft w:val="0"/>
      <w:marRight w:val="0"/>
      <w:marTop w:val="0"/>
      <w:marBottom w:val="0"/>
      <w:divBdr>
        <w:top w:val="none" w:sz="0" w:space="0" w:color="auto"/>
        <w:left w:val="none" w:sz="0" w:space="0" w:color="auto"/>
        <w:bottom w:val="none" w:sz="0" w:space="0" w:color="auto"/>
        <w:right w:val="none" w:sz="0" w:space="0" w:color="auto"/>
      </w:divBdr>
    </w:div>
    <w:div w:id="2096631596">
      <w:bodyDiv w:val="1"/>
      <w:marLeft w:val="0"/>
      <w:marRight w:val="0"/>
      <w:marTop w:val="0"/>
      <w:marBottom w:val="0"/>
      <w:divBdr>
        <w:top w:val="none" w:sz="0" w:space="0" w:color="auto"/>
        <w:left w:val="none" w:sz="0" w:space="0" w:color="auto"/>
        <w:bottom w:val="none" w:sz="0" w:space="0" w:color="auto"/>
        <w:right w:val="none" w:sz="0" w:space="0" w:color="auto"/>
      </w:divBdr>
    </w:div>
    <w:div w:id="2103647542">
      <w:bodyDiv w:val="1"/>
      <w:marLeft w:val="0"/>
      <w:marRight w:val="0"/>
      <w:marTop w:val="0"/>
      <w:marBottom w:val="0"/>
      <w:divBdr>
        <w:top w:val="none" w:sz="0" w:space="0" w:color="auto"/>
        <w:left w:val="none" w:sz="0" w:space="0" w:color="auto"/>
        <w:bottom w:val="none" w:sz="0" w:space="0" w:color="auto"/>
        <w:right w:val="none" w:sz="0" w:space="0" w:color="auto"/>
      </w:divBdr>
    </w:div>
    <w:div w:id="2107073897">
      <w:bodyDiv w:val="1"/>
      <w:marLeft w:val="0"/>
      <w:marRight w:val="0"/>
      <w:marTop w:val="0"/>
      <w:marBottom w:val="0"/>
      <w:divBdr>
        <w:top w:val="none" w:sz="0" w:space="0" w:color="auto"/>
        <w:left w:val="none" w:sz="0" w:space="0" w:color="auto"/>
        <w:bottom w:val="none" w:sz="0" w:space="0" w:color="auto"/>
        <w:right w:val="none" w:sz="0" w:space="0" w:color="auto"/>
      </w:divBdr>
    </w:div>
    <w:div w:id="2123111659">
      <w:bodyDiv w:val="1"/>
      <w:marLeft w:val="0"/>
      <w:marRight w:val="0"/>
      <w:marTop w:val="0"/>
      <w:marBottom w:val="0"/>
      <w:divBdr>
        <w:top w:val="none" w:sz="0" w:space="0" w:color="auto"/>
        <w:left w:val="none" w:sz="0" w:space="0" w:color="auto"/>
        <w:bottom w:val="none" w:sz="0" w:space="0" w:color="auto"/>
        <w:right w:val="none" w:sz="0" w:space="0" w:color="auto"/>
      </w:divBdr>
    </w:div>
    <w:div w:id="213852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diagramData" Target="diagrams/data1.xml"/><Relationship Id="rId26" Type="http://schemas.openxmlformats.org/officeDocument/2006/relationships/image" Target="media/image9.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image" Target="media/image17.png"/><Relationship Id="rId42" Type="http://schemas.openxmlformats.org/officeDocument/2006/relationships/image" Target="media/image27.emf"/><Relationship Id="rId47"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5.emf"/><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header" Target="header1.xml"/><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QuickStyle" Target="diagrams/quickStyle1.xml"/><Relationship Id="rId29" Type="http://schemas.openxmlformats.org/officeDocument/2006/relationships/image" Target="media/image1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header" Target="header2.xml"/><Relationship Id="rId45" Type="http://schemas.openxmlformats.org/officeDocument/2006/relationships/image" Target="media/image30.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14.png"/><Relationship Id="rId44"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microsoft.com/office/2007/relationships/diagramDrawing" Target="diagrams/drawing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8.emf"/><Relationship Id="rId48" Type="http://schemas.microsoft.com/office/2011/relationships/people" Target="peop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foot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2" Type="http://schemas.openxmlformats.org/officeDocument/2006/relationships/hyperlink" Target="https://data.bls.gov/cgi-bin/cpicalc.pl" TargetMode="External"/><Relationship Id="rId1" Type="http://schemas.openxmlformats.org/officeDocument/2006/relationships/hyperlink" Target="http://your.kingcounty.gov/dnrp/library/dnrp-directors-office/climate/2008-emissions-inventory/ghg-inventory-ful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3BDC6B-EFBE-4971-BBED-C29E5AEBA369}" type="doc">
      <dgm:prSet loTypeId="urn:microsoft.com/office/officeart/2005/8/layout/process1" loCatId="process" qsTypeId="urn:microsoft.com/office/officeart/2005/8/quickstyle/simple1" qsCatId="simple" csTypeId="urn:microsoft.com/office/officeart/2005/8/colors/colorful1" csCatId="colorful" phldr="1"/>
      <dgm:spPr/>
      <dgm:t>
        <a:bodyPr/>
        <a:lstStyle/>
        <a:p>
          <a:endParaRPr lang="en-US"/>
        </a:p>
      </dgm:t>
    </dgm:pt>
    <dgm:pt modelId="{7EBD5A4E-412A-4AC3-8223-BDADD53E8D73}">
      <dgm:prSet phldrT="[Text]"/>
      <dgm:spPr/>
      <dgm:t>
        <a:bodyPr/>
        <a:lstStyle/>
        <a:p>
          <a:pPr algn="ctr"/>
          <a:r>
            <a:rPr lang="en-US"/>
            <a:t>2004</a:t>
          </a:r>
        </a:p>
      </dgm:t>
    </dgm:pt>
    <dgm:pt modelId="{78F8455C-EDCA-4CC7-B245-557511F87A38}" type="parTrans" cxnId="{BA48ED52-9B23-48C4-868D-47550330FC45}">
      <dgm:prSet/>
      <dgm:spPr/>
      <dgm:t>
        <a:bodyPr/>
        <a:lstStyle/>
        <a:p>
          <a:endParaRPr lang="en-US"/>
        </a:p>
      </dgm:t>
    </dgm:pt>
    <dgm:pt modelId="{2D271789-8961-492D-9EC9-1EAC811B39CA}" type="sibTrans" cxnId="{BA48ED52-9B23-48C4-868D-47550330FC45}">
      <dgm:prSet/>
      <dgm:spPr/>
      <dgm:t>
        <a:bodyPr/>
        <a:lstStyle/>
        <a:p>
          <a:endParaRPr lang="en-US"/>
        </a:p>
      </dgm:t>
    </dgm:pt>
    <dgm:pt modelId="{CA93B847-C9E6-4BB3-8C06-084EEA45E7E6}">
      <dgm:prSet phldrT="[Text]"/>
      <dgm:spPr/>
      <dgm:t>
        <a:bodyPr/>
        <a:lstStyle/>
        <a:p>
          <a:pPr algn="l"/>
          <a:r>
            <a:rPr lang="en-US"/>
            <a:t>2003 King County inventory published</a:t>
          </a:r>
        </a:p>
      </dgm:t>
    </dgm:pt>
    <dgm:pt modelId="{919C2A75-C98B-45D2-8DBF-7F9FA24F2268}" type="parTrans" cxnId="{4FABBC0B-0A4C-4703-9106-67241BD48AD8}">
      <dgm:prSet/>
      <dgm:spPr/>
      <dgm:t>
        <a:bodyPr/>
        <a:lstStyle/>
        <a:p>
          <a:endParaRPr lang="en-US"/>
        </a:p>
      </dgm:t>
    </dgm:pt>
    <dgm:pt modelId="{26C986AA-52A7-4FC2-9BD6-BD9E389C9D01}" type="sibTrans" cxnId="{4FABBC0B-0A4C-4703-9106-67241BD48AD8}">
      <dgm:prSet/>
      <dgm:spPr/>
      <dgm:t>
        <a:bodyPr/>
        <a:lstStyle/>
        <a:p>
          <a:endParaRPr lang="en-US"/>
        </a:p>
      </dgm:t>
    </dgm:pt>
    <dgm:pt modelId="{1469429E-C732-4BDA-8C77-127F16302A2C}">
      <dgm:prSet phldrT="[Text]"/>
      <dgm:spPr/>
      <dgm:t>
        <a:bodyPr/>
        <a:lstStyle/>
        <a:p>
          <a:pPr algn="ctr"/>
          <a:r>
            <a:rPr lang="en-US"/>
            <a:t>2012</a:t>
          </a:r>
        </a:p>
      </dgm:t>
    </dgm:pt>
    <dgm:pt modelId="{6930AA19-C756-46E1-A750-2BB908FC1C38}" type="parTrans" cxnId="{DB279492-FA6B-4797-9E5D-C8D4D23A6531}">
      <dgm:prSet/>
      <dgm:spPr/>
      <dgm:t>
        <a:bodyPr/>
        <a:lstStyle/>
        <a:p>
          <a:endParaRPr lang="en-US"/>
        </a:p>
      </dgm:t>
    </dgm:pt>
    <dgm:pt modelId="{8EA40EBF-C15F-4804-A3E3-0F0A65D54FF4}" type="sibTrans" cxnId="{DB279492-FA6B-4797-9E5D-C8D4D23A6531}">
      <dgm:prSet/>
      <dgm:spPr/>
      <dgm:t>
        <a:bodyPr/>
        <a:lstStyle/>
        <a:p>
          <a:endParaRPr lang="en-US"/>
        </a:p>
      </dgm:t>
    </dgm:pt>
    <dgm:pt modelId="{7FE0A116-DB03-47A5-8505-4A6DE846B822}">
      <dgm:prSet phldrT="[Text]"/>
      <dgm:spPr/>
      <dgm:t>
        <a:bodyPr/>
        <a:lstStyle/>
        <a:p>
          <a:pPr algn="l"/>
          <a:r>
            <a:rPr lang="en-US"/>
            <a:t>2008 inventory published</a:t>
          </a:r>
        </a:p>
      </dgm:t>
    </dgm:pt>
    <dgm:pt modelId="{1D211147-4A33-4BB9-8BE5-4AE163133A68}" type="parTrans" cxnId="{AA9491EA-3FF8-4F63-A39F-A47605B7C1D9}">
      <dgm:prSet/>
      <dgm:spPr/>
      <dgm:t>
        <a:bodyPr/>
        <a:lstStyle/>
        <a:p>
          <a:endParaRPr lang="en-US"/>
        </a:p>
      </dgm:t>
    </dgm:pt>
    <dgm:pt modelId="{F2F6FE83-DC83-42DB-814D-53AA9C2A8ED0}" type="sibTrans" cxnId="{AA9491EA-3FF8-4F63-A39F-A47605B7C1D9}">
      <dgm:prSet/>
      <dgm:spPr/>
      <dgm:t>
        <a:bodyPr/>
        <a:lstStyle/>
        <a:p>
          <a:endParaRPr lang="en-US"/>
        </a:p>
      </dgm:t>
    </dgm:pt>
    <dgm:pt modelId="{EF2569EA-C334-495E-8B5E-003155813273}">
      <dgm:prSet phldrT="[Text]"/>
      <dgm:spPr/>
      <dgm:t>
        <a:bodyPr/>
        <a:lstStyle/>
        <a:p>
          <a:pPr algn="ctr"/>
          <a:r>
            <a:rPr lang="en-US"/>
            <a:t>2012</a:t>
          </a:r>
        </a:p>
      </dgm:t>
    </dgm:pt>
    <dgm:pt modelId="{B2F1D390-455C-47CC-B5D4-884555452C6A}" type="parTrans" cxnId="{DC2CE361-BAF2-47DD-A149-193219E58F93}">
      <dgm:prSet/>
      <dgm:spPr/>
      <dgm:t>
        <a:bodyPr/>
        <a:lstStyle/>
        <a:p>
          <a:endParaRPr lang="en-US"/>
        </a:p>
      </dgm:t>
    </dgm:pt>
    <dgm:pt modelId="{EB5DF84A-9672-4173-A04E-90DC0D5D1537}" type="sibTrans" cxnId="{DC2CE361-BAF2-47DD-A149-193219E58F93}">
      <dgm:prSet/>
      <dgm:spPr/>
      <dgm:t>
        <a:bodyPr/>
        <a:lstStyle/>
        <a:p>
          <a:endParaRPr lang="en-US"/>
        </a:p>
      </dgm:t>
    </dgm:pt>
    <dgm:pt modelId="{908BD589-8286-4047-9950-66E4C766FC40}">
      <dgm:prSet phldrT="[Text]"/>
      <dgm:spPr/>
      <dgm:t>
        <a:bodyPr/>
        <a:lstStyle/>
        <a:p>
          <a:pPr algn="l"/>
          <a:r>
            <a:rPr lang="en-US"/>
            <a:t>2010 inventory published</a:t>
          </a:r>
        </a:p>
      </dgm:t>
    </dgm:pt>
    <dgm:pt modelId="{1341FC5C-14B6-4F0D-9E90-F4B1E1625E10}" type="parTrans" cxnId="{B48C9289-7381-4960-B497-5361838EED95}">
      <dgm:prSet/>
      <dgm:spPr/>
      <dgm:t>
        <a:bodyPr/>
        <a:lstStyle/>
        <a:p>
          <a:endParaRPr lang="en-US"/>
        </a:p>
      </dgm:t>
    </dgm:pt>
    <dgm:pt modelId="{268B0025-B515-4727-85AB-C7BEC9E42DDA}" type="sibTrans" cxnId="{B48C9289-7381-4960-B497-5361838EED95}">
      <dgm:prSet/>
      <dgm:spPr/>
      <dgm:t>
        <a:bodyPr/>
        <a:lstStyle/>
        <a:p>
          <a:endParaRPr lang="en-US"/>
        </a:p>
      </dgm:t>
    </dgm:pt>
    <dgm:pt modelId="{B6923F16-6BAD-4B63-B93E-0F4257745B76}">
      <dgm:prSet/>
      <dgm:spPr/>
      <dgm:t>
        <a:bodyPr/>
        <a:lstStyle/>
        <a:p>
          <a:pPr algn="ctr"/>
          <a:r>
            <a:rPr lang="en-US"/>
            <a:t>2015</a:t>
          </a:r>
        </a:p>
      </dgm:t>
    </dgm:pt>
    <dgm:pt modelId="{7A5C5FC7-ED48-444B-93CC-C3BF632AB542}" type="parTrans" cxnId="{3E1C88BF-B387-4218-B667-9A4B11B6A778}">
      <dgm:prSet/>
      <dgm:spPr/>
      <dgm:t>
        <a:bodyPr/>
        <a:lstStyle/>
        <a:p>
          <a:endParaRPr lang="en-US"/>
        </a:p>
      </dgm:t>
    </dgm:pt>
    <dgm:pt modelId="{F5581792-564A-45B2-935D-3512D45F1548}" type="sibTrans" cxnId="{3E1C88BF-B387-4218-B667-9A4B11B6A778}">
      <dgm:prSet/>
      <dgm:spPr/>
      <dgm:t>
        <a:bodyPr/>
        <a:lstStyle/>
        <a:p>
          <a:endParaRPr lang="en-US"/>
        </a:p>
      </dgm:t>
    </dgm:pt>
    <dgm:pt modelId="{C0CAF86E-557E-43EB-94B1-DED05E8E37D0}">
      <dgm:prSet/>
      <dgm:spPr/>
      <dgm:t>
        <a:bodyPr/>
        <a:lstStyle/>
        <a:p>
          <a:pPr algn="ctr"/>
          <a:r>
            <a:rPr lang="en-US"/>
            <a:t>2017</a:t>
          </a:r>
        </a:p>
      </dgm:t>
    </dgm:pt>
    <dgm:pt modelId="{8C518625-96FA-4069-A3DC-974A65052971}" type="parTrans" cxnId="{DA4456D1-6731-4C9C-A9BC-5EC26053CBF9}">
      <dgm:prSet/>
      <dgm:spPr/>
      <dgm:t>
        <a:bodyPr/>
        <a:lstStyle/>
        <a:p>
          <a:endParaRPr lang="en-US"/>
        </a:p>
      </dgm:t>
    </dgm:pt>
    <dgm:pt modelId="{A37DF634-5A4A-40D7-8AEF-8FA4AE6234D0}" type="sibTrans" cxnId="{DA4456D1-6731-4C9C-A9BC-5EC26053CBF9}">
      <dgm:prSet/>
      <dgm:spPr/>
      <dgm:t>
        <a:bodyPr/>
        <a:lstStyle/>
        <a:p>
          <a:endParaRPr lang="en-US"/>
        </a:p>
      </dgm:t>
    </dgm:pt>
    <dgm:pt modelId="{7020D1DA-0F10-451A-97F7-23C05D440892}">
      <dgm:prSet/>
      <dgm:spPr/>
      <dgm:t>
        <a:bodyPr/>
        <a:lstStyle/>
        <a:p>
          <a:pPr algn="l"/>
          <a:r>
            <a:rPr lang="en-US"/>
            <a:t>2015 inventory published</a:t>
          </a:r>
        </a:p>
      </dgm:t>
    </dgm:pt>
    <dgm:pt modelId="{C0499377-9F70-4155-9375-25E16BD9791F}" type="parTrans" cxnId="{E34F8B5B-9687-4905-9BC6-42A6312F9CB5}">
      <dgm:prSet/>
      <dgm:spPr/>
      <dgm:t>
        <a:bodyPr/>
        <a:lstStyle/>
        <a:p>
          <a:endParaRPr lang="en-US"/>
        </a:p>
      </dgm:t>
    </dgm:pt>
    <dgm:pt modelId="{6E1D6C1C-B11B-4655-A23A-06FF3F4EF64C}" type="sibTrans" cxnId="{E34F8B5B-9687-4905-9BC6-42A6312F9CB5}">
      <dgm:prSet/>
      <dgm:spPr/>
      <dgm:t>
        <a:bodyPr/>
        <a:lstStyle/>
        <a:p>
          <a:endParaRPr lang="en-US"/>
        </a:p>
      </dgm:t>
    </dgm:pt>
    <dgm:pt modelId="{F0DA277A-86F7-4902-8C5A-E524BD767123}">
      <dgm:prSet/>
      <dgm:spPr/>
      <dgm:t>
        <a:bodyPr/>
        <a:lstStyle/>
        <a:p>
          <a:pPr algn="l"/>
          <a:r>
            <a:rPr lang="en-US"/>
            <a:t>Approves Climate Action Plan with 5-year objective to reduce emissions 25% below 2007</a:t>
          </a:r>
        </a:p>
      </dgm:t>
    </dgm:pt>
    <dgm:pt modelId="{76A17A8B-879F-4CC6-BC78-02CA9B52AE33}" type="parTrans" cxnId="{79E58108-3E88-436D-A7F4-633F7C57178D}">
      <dgm:prSet/>
      <dgm:spPr/>
      <dgm:t>
        <a:bodyPr/>
        <a:lstStyle/>
        <a:p>
          <a:endParaRPr lang="en-US"/>
        </a:p>
      </dgm:t>
    </dgm:pt>
    <dgm:pt modelId="{38CEBCC2-434C-46F4-968C-E3F87086AADC}" type="sibTrans" cxnId="{79E58108-3E88-436D-A7F4-633F7C57178D}">
      <dgm:prSet/>
      <dgm:spPr/>
      <dgm:t>
        <a:bodyPr/>
        <a:lstStyle/>
        <a:p>
          <a:endParaRPr lang="en-US"/>
        </a:p>
      </dgm:t>
    </dgm:pt>
    <dgm:pt modelId="{C99BB3BC-E1E6-4A62-ACDF-EF1EB65F6307}">
      <dgm:prSet phldrT="[Text]"/>
      <dgm:spPr/>
      <dgm:t>
        <a:bodyPr/>
        <a:lstStyle/>
        <a:p>
          <a:pPr algn="l"/>
          <a:r>
            <a:rPr lang="en-US"/>
            <a:t>Government and g</a:t>
          </a:r>
          <a:r>
            <a:rPr lang="en-US">
              <a:solidFill>
                <a:schemeClr val="bg1"/>
              </a:solidFill>
            </a:rPr>
            <a:t>eographic- plus inventory</a:t>
          </a:r>
        </a:p>
      </dgm:t>
    </dgm:pt>
    <dgm:pt modelId="{DEC4F916-5455-4B7B-929F-B4E105C1F4FC}" type="sibTrans" cxnId="{3786C6BC-E748-4860-BCA5-B4283C51F6F8}">
      <dgm:prSet/>
      <dgm:spPr/>
      <dgm:t>
        <a:bodyPr/>
        <a:lstStyle/>
        <a:p>
          <a:endParaRPr lang="en-US"/>
        </a:p>
      </dgm:t>
    </dgm:pt>
    <dgm:pt modelId="{9E8876F0-A1CB-4E2B-93A8-05B9B1470ED7}" type="parTrans" cxnId="{3786C6BC-E748-4860-BCA5-B4283C51F6F8}">
      <dgm:prSet/>
      <dgm:spPr/>
      <dgm:t>
        <a:bodyPr/>
        <a:lstStyle/>
        <a:p>
          <a:endParaRPr lang="en-US"/>
        </a:p>
      </dgm:t>
    </dgm:pt>
    <dgm:pt modelId="{9FC33D93-541A-4D11-83BC-FA25AD5430FB}">
      <dgm:prSet phldrT="[Text]"/>
      <dgm:spPr/>
      <dgm:t>
        <a:bodyPr/>
        <a:lstStyle/>
        <a:p>
          <a:pPr algn="l"/>
          <a:r>
            <a:rPr lang="en-US"/>
            <a:t>Geographic-plus and consumption-based inventories</a:t>
          </a:r>
        </a:p>
      </dgm:t>
    </dgm:pt>
    <dgm:pt modelId="{C06236FE-CC37-41A8-BFD4-1DAECD7FFD0F}" type="parTrans" cxnId="{8978DDCE-FD9C-4258-B5C5-250816D48DA0}">
      <dgm:prSet/>
      <dgm:spPr/>
      <dgm:t>
        <a:bodyPr/>
        <a:lstStyle/>
        <a:p>
          <a:endParaRPr lang="en-US"/>
        </a:p>
      </dgm:t>
    </dgm:pt>
    <dgm:pt modelId="{7EF33B1E-5AE4-4CD0-A9F9-B3949A2D10B2}" type="sibTrans" cxnId="{8978DDCE-FD9C-4258-B5C5-250816D48DA0}">
      <dgm:prSet/>
      <dgm:spPr/>
      <dgm:t>
        <a:bodyPr/>
        <a:lstStyle/>
        <a:p>
          <a:endParaRPr lang="en-US"/>
        </a:p>
      </dgm:t>
    </dgm:pt>
    <dgm:pt modelId="{808A9B78-0562-400F-81AE-1CDD42CE4D30}">
      <dgm:prSet phldrT="[Text]"/>
      <dgm:spPr/>
      <dgm:t>
        <a:bodyPr/>
        <a:lstStyle/>
        <a:p>
          <a:pPr algn="l"/>
          <a:endParaRPr lang="en-US"/>
        </a:p>
      </dgm:t>
    </dgm:pt>
    <dgm:pt modelId="{B1AE0E8C-EBB9-4901-99E6-E000C6F25DB3}" type="parTrans" cxnId="{3C3540BC-4DA7-4B4E-B96E-05E23738CA96}">
      <dgm:prSet/>
      <dgm:spPr/>
      <dgm:t>
        <a:bodyPr/>
        <a:lstStyle/>
        <a:p>
          <a:endParaRPr lang="en-US"/>
        </a:p>
      </dgm:t>
    </dgm:pt>
    <dgm:pt modelId="{26F2CAAF-821F-40F4-BC0F-8453C8CBE2A5}" type="sibTrans" cxnId="{3C3540BC-4DA7-4B4E-B96E-05E23738CA96}">
      <dgm:prSet/>
      <dgm:spPr/>
      <dgm:t>
        <a:bodyPr/>
        <a:lstStyle/>
        <a:p>
          <a:endParaRPr lang="en-US"/>
        </a:p>
      </dgm:t>
    </dgm:pt>
    <dgm:pt modelId="{A116704E-AA26-4C59-97DD-1401DE27D282}">
      <dgm:prSet phldrT="[Text]"/>
      <dgm:spPr/>
      <dgm:t>
        <a:bodyPr/>
        <a:lstStyle/>
        <a:p>
          <a:pPr algn="l"/>
          <a:r>
            <a:rPr lang="en-US"/>
            <a:t>Core emissions inventory</a:t>
          </a:r>
        </a:p>
      </dgm:t>
    </dgm:pt>
    <dgm:pt modelId="{B81D6F7C-584E-4AB6-9924-7BBADC316E95}" type="parTrans" cxnId="{41DA4FF2-DC41-4E39-B988-3534DEF36E62}">
      <dgm:prSet/>
      <dgm:spPr/>
      <dgm:t>
        <a:bodyPr/>
        <a:lstStyle/>
        <a:p>
          <a:endParaRPr lang="en-US"/>
        </a:p>
      </dgm:t>
    </dgm:pt>
    <dgm:pt modelId="{D22B08C4-E7A3-4A8F-A7BD-C0E2E45505AB}" type="sibTrans" cxnId="{41DA4FF2-DC41-4E39-B988-3534DEF36E62}">
      <dgm:prSet/>
      <dgm:spPr/>
      <dgm:t>
        <a:bodyPr/>
        <a:lstStyle/>
        <a:p>
          <a:endParaRPr lang="en-US"/>
        </a:p>
      </dgm:t>
    </dgm:pt>
    <dgm:pt modelId="{6AA0B09B-CC7C-4223-9AB9-94E7FFBFEFFB}">
      <dgm:prSet/>
      <dgm:spPr/>
      <dgm:t>
        <a:bodyPr/>
        <a:lstStyle/>
        <a:p>
          <a:pPr algn="l"/>
          <a:r>
            <a:rPr lang="en-US"/>
            <a:t>Geographic-plus and consumption-based inventories</a:t>
          </a:r>
        </a:p>
      </dgm:t>
    </dgm:pt>
    <dgm:pt modelId="{47CDDDA9-5E86-4E93-8DB3-CD06142A328C}" type="parTrans" cxnId="{BCA6A015-25EB-4A35-B6C3-C4F1B848DE07}">
      <dgm:prSet/>
      <dgm:spPr/>
      <dgm:t>
        <a:bodyPr/>
        <a:lstStyle/>
        <a:p>
          <a:endParaRPr lang="en-US"/>
        </a:p>
      </dgm:t>
    </dgm:pt>
    <dgm:pt modelId="{02600852-8B22-4512-8852-503632360EB5}" type="sibTrans" cxnId="{BCA6A015-25EB-4A35-B6C3-C4F1B848DE07}">
      <dgm:prSet/>
      <dgm:spPr/>
      <dgm:t>
        <a:bodyPr/>
        <a:lstStyle/>
        <a:p>
          <a:endParaRPr lang="en-US"/>
        </a:p>
      </dgm:t>
    </dgm:pt>
    <dgm:pt modelId="{1A846A15-4F0A-4A14-9EDE-55453CC4FB44}" type="pres">
      <dgm:prSet presAssocID="{CB3BDC6B-EFBE-4971-BBED-C29E5AEBA369}" presName="Name0" presStyleCnt="0">
        <dgm:presLayoutVars>
          <dgm:dir/>
          <dgm:resizeHandles val="exact"/>
        </dgm:presLayoutVars>
      </dgm:prSet>
      <dgm:spPr/>
    </dgm:pt>
    <dgm:pt modelId="{7B432869-6469-4000-B7F3-2858DC742029}" type="pres">
      <dgm:prSet presAssocID="{7EBD5A4E-412A-4AC3-8223-BDADD53E8D73}" presName="node" presStyleLbl="node1" presStyleIdx="0" presStyleCnt="5" custLinFactNeighborX="2647">
        <dgm:presLayoutVars>
          <dgm:bulletEnabled val="1"/>
        </dgm:presLayoutVars>
      </dgm:prSet>
      <dgm:spPr/>
    </dgm:pt>
    <dgm:pt modelId="{129CFF0E-ECBC-4F42-AFC0-4079EFD93671}" type="pres">
      <dgm:prSet presAssocID="{2D271789-8961-492D-9EC9-1EAC811B39CA}" presName="sibTrans" presStyleLbl="sibTrans2D1" presStyleIdx="0" presStyleCnt="4"/>
      <dgm:spPr/>
    </dgm:pt>
    <dgm:pt modelId="{C63CFCF7-40E7-4FD2-B4F5-31E23DA4350C}" type="pres">
      <dgm:prSet presAssocID="{2D271789-8961-492D-9EC9-1EAC811B39CA}" presName="connectorText" presStyleLbl="sibTrans2D1" presStyleIdx="0" presStyleCnt="4"/>
      <dgm:spPr/>
    </dgm:pt>
    <dgm:pt modelId="{E180FB4E-119E-4222-9309-2DE3B09F888A}" type="pres">
      <dgm:prSet presAssocID="{1469429E-C732-4BDA-8C77-127F16302A2C}" presName="node" presStyleLbl="node1" presStyleIdx="1" presStyleCnt="5">
        <dgm:presLayoutVars>
          <dgm:bulletEnabled val="1"/>
        </dgm:presLayoutVars>
      </dgm:prSet>
      <dgm:spPr/>
    </dgm:pt>
    <dgm:pt modelId="{DF138F30-F719-4DA5-9A12-14876C756307}" type="pres">
      <dgm:prSet presAssocID="{8EA40EBF-C15F-4804-A3E3-0F0A65D54FF4}" presName="sibTrans" presStyleLbl="sibTrans2D1" presStyleIdx="1" presStyleCnt="4"/>
      <dgm:spPr/>
    </dgm:pt>
    <dgm:pt modelId="{928A120C-6E94-4A3A-9AA4-E17F3B3689FE}" type="pres">
      <dgm:prSet presAssocID="{8EA40EBF-C15F-4804-A3E3-0F0A65D54FF4}" presName="connectorText" presStyleLbl="sibTrans2D1" presStyleIdx="1" presStyleCnt="4"/>
      <dgm:spPr/>
    </dgm:pt>
    <dgm:pt modelId="{49CB5F8E-E308-4242-BB8B-9A019BC1B98E}" type="pres">
      <dgm:prSet presAssocID="{EF2569EA-C334-495E-8B5E-003155813273}" presName="node" presStyleLbl="node1" presStyleIdx="2" presStyleCnt="5">
        <dgm:presLayoutVars>
          <dgm:bulletEnabled val="1"/>
        </dgm:presLayoutVars>
      </dgm:prSet>
      <dgm:spPr/>
    </dgm:pt>
    <dgm:pt modelId="{FA987442-E835-47E1-89C2-1A60717E7EC8}" type="pres">
      <dgm:prSet presAssocID="{EB5DF84A-9672-4173-A04E-90DC0D5D1537}" presName="sibTrans" presStyleLbl="sibTrans2D1" presStyleIdx="2" presStyleCnt="4"/>
      <dgm:spPr/>
    </dgm:pt>
    <dgm:pt modelId="{09B0D6DE-AEE3-443A-BC6B-ED2D2CFF1311}" type="pres">
      <dgm:prSet presAssocID="{EB5DF84A-9672-4173-A04E-90DC0D5D1537}" presName="connectorText" presStyleLbl="sibTrans2D1" presStyleIdx="2" presStyleCnt="4"/>
      <dgm:spPr/>
    </dgm:pt>
    <dgm:pt modelId="{6341D35F-0E1F-4207-A04C-F55809F52F87}" type="pres">
      <dgm:prSet presAssocID="{B6923F16-6BAD-4B63-B93E-0F4257745B76}" presName="node" presStyleLbl="node1" presStyleIdx="3" presStyleCnt="5">
        <dgm:presLayoutVars>
          <dgm:bulletEnabled val="1"/>
        </dgm:presLayoutVars>
      </dgm:prSet>
      <dgm:spPr/>
    </dgm:pt>
    <dgm:pt modelId="{92EF08D8-6E47-4242-BB67-5DE780BADFFA}" type="pres">
      <dgm:prSet presAssocID="{F5581792-564A-45B2-935D-3512D45F1548}" presName="sibTrans" presStyleLbl="sibTrans2D1" presStyleIdx="3" presStyleCnt="4"/>
      <dgm:spPr/>
    </dgm:pt>
    <dgm:pt modelId="{13B4FD4E-FAEE-411F-9890-C8A17749349B}" type="pres">
      <dgm:prSet presAssocID="{F5581792-564A-45B2-935D-3512D45F1548}" presName="connectorText" presStyleLbl="sibTrans2D1" presStyleIdx="3" presStyleCnt="4"/>
      <dgm:spPr/>
    </dgm:pt>
    <dgm:pt modelId="{6700A1BE-6BD2-459A-AA3F-268174669BF5}" type="pres">
      <dgm:prSet presAssocID="{C0CAF86E-557E-43EB-94B1-DED05E8E37D0}" presName="node" presStyleLbl="node1" presStyleIdx="4" presStyleCnt="5">
        <dgm:presLayoutVars>
          <dgm:bulletEnabled val="1"/>
        </dgm:presLayoutVars>
      </dgm:prSet>
      <dgm:spPr/>
    </dgm:pt>
  </dgm:ptLst>
  <dgm:cxnLst>
    <dgm:cxn modelId="{79E58108-3E88-436D-A7F4-633F7C57178D}" srcId="{B6923F16-6BAD-4B63-B93E-0F4257745B76}" destId="{F0DA277A-86F7-4902-8C5A-E524BD767123}" srcOrd="0" destOrd="0" parTransId="{76A17A8B-879F-4CC6-BC78-02CA9B52AE33}" sibTransId="{38CEBCC2-434C-46F4-968C-E3F87086AADC}"/>
    <dgm:cxn modelId="{4FABBC0B-0A4C-4703-9106-67241BD48AD8}" srcId="{7EBD5A4E-412A-4AC3-8223-BDADD53E8D73}" destId="{CA93B847-C9E6-4BB3-8C06-084EEA45E7E6}" srcOrd="0" destOrd="0" parTransId="{919C2A75-C98B-45D2-8DBF-7F9FA24F2268}" sibTransId="{26C986AA-52A7-4FC2-9BD6-BD9E389C9D01}"/>
    <dgm:cxn modelId="{BCA6A015-25EB-4A35-B6C3-C4F1B848DE07}" srcId="{C0CAF86E-557E-43EB-94B1-DED05E8E37D0}" destId="{6AA0B09B-CC7C-4223-9AB9-94E7FFBFEFFB}" srcOrd="1" destOrd="0" parTransId="{47CDDDA9-5E86-4E93-8DB3-CD06142A328C}" sibTransId="{02600852-8B22-4512-8852-503632360EB5}"/>
    <dgm:cxn modelId="{3F9A7F1A-3773-4CC0-A0F0-F401CDEDD443}" type="presOf" srcId="{8EA40EBF-C15F-4804-A3E3-0F0A65D54FF4}" destId="{DF138F30-F719-4DA5-9A12-14876C756307}" srcOrd="0" destOrd="0" presId="urn:microsoft.com/office/officeart/2005/8/layout/process1"/>
    <dgm:cxn modelId="{94180F2A-A16E-486C-8C5E-269B37EDAE54}" type="presOf" srcId="{CB3BDC6B-EFBE-4971-BBED-C29E5AEBA369}" destId="{1A846A15-4F0A-4A14-9EDE-55453CC4FB44}" srcOrd="0" destOrd="0" presId="urn:microsoft.com/office/officeart/2005/8/layout/process1"/>
    <dgm:cxn modelId="{3ED5E22D-8C72-448C-AD81-19254F6DA983}" type="presOf" srcId="{EB5DF84A-9672-4173-A04E-90DC0D5D1537}" destId="{09B0D6DE-AEE3-443A-BC6B-ED2D2CFF1311}" srcOrd="1" destOrd="0" presId="urn:microsoft.com/office/officeart/2005/8/layout/process1"/>
    <dgm:cxn modelId="{B2991A32-6CB0-48CB-98CC-5DF44B64474D}" type="presOf" srcId="{2D271789-8961-492D-9EC9-1EAC811B39CA}" destId="{C63CFCF7-40E7-4FD2-B4F5-31E23DA4350C}" srcOrd="1" destOrd="0" presId="urn:microsoft.com/office/officeart/2005/8/layout/process1"/>
    <dgm:cxn modelId="{E34F8B5B-9687-4905-9BC6-42A6312F9CB5}" srcId="{C0CAF86E-557E-43EB-94B1-DED05E8E37D0}" destId="{7020D1DA-0F10-451A-97F7-23C05D440892}" srcOrd="0" destOrd="0" parTransId="{C0499377-9F70-4155-9375-25E16BD9791F}" sibTransId="{6E1D6C1C-B11B-4655-A23A-06FF3F4EF64C}"/>
    <dgm:cxn modelId="{2EC10F60-E4B1-4506-B72C-C65A3756544E}" type="presOf" srcId="{F5581792-564A-45B2-935D-3512D45F1548}" destId="{13B4FD4E-FAEE-411F-9890-C8A17749349B}" srcOrd="1" destOrd="0" presId="urn:microsoft.com/office/officeart/2005/8/layout/process1"/>
    <dgm:cxn modelId="{DC2CE361-BAF2-47DD-A149-193219E58F93}" srcId="{CB3BDC6B-EFBE-4971-BBED-C29E5AEBA369}" destId="{EF2569EA-C334-495E-8B5E-003155813273}" srcOrd="2" destOrd="0" parTransId="{B2F1D390-455C-47CC-B5D4-884555452C6A}" sibTransId="{EB5DF84A-9672-4173-A04E-90DC0D5D1537}"/>
    <dgm:cxn modelId="{2E02F54B-282F-4931-A2D7-CEC26FFA48DF}" type="presOf" srcId="{6AA0B09B-CC7C-4223-9AB9-94E7FFBFEFFB}" destId="{6700A1BE-6BD2-459A-AA3F-268174669BF5}" srcOrd="0" destOrd="2" presId="urn:microsoft.com/office/officeart/2005/8/layout/process1"/>
    <dgm:cxn modelId="{62CBB64F-9783-43DC-9013-AAD8AD0A1414}" type="presOf" srcId="{908BD589-8286-4047-9950-66E4C766FC40}" destId="{49CB5F8E-E308-4242-BB8B-9A019BC1B98E}" srcOrd="0" destOrd="1" presId="urn:microsoft.com/office/officeart/2005/8/layout/process1"/>
    <dgm:cxn modelId="{7445EF70-0B24-4C3A-AA9F-FA3C46B41D74}" type="presOf" srcId="{7FE0A116-DB03-47A5-8505-4A6DE846B822}" destId="{E180FB4E-119E-4222-9309-2DE3B09F888A}" srcOrd="0" destOrd="1" presId="urn:microsoft.com/office/officeart/2005/8/layout/process1"/>
    <dgm:cxn modelId="{BE372251-A9DA-4737-B3EE-38A35E9A5F4F}" type="presOf" srcId="{C0CAF86E-557E-43EB-94B1-DED05E8E37D0}" destId="{6700A1BE-6BD2-459A-AA3F-268174669BF5}" srcOrd="0" destOrd="0" presId="urn:microsoft.com/office/officeart/2005/8/layout/process1"/>
    <dgm:cxn modelId="{BA48ED52-9B23-48C4-868D-47550330FC45}" srcId="{CB3BDC6B-EFBE-4971-BBED-C29E5AEBA369}" destId="{7EBD5A4E-412A-4AC3-8223-BDADD53E8D73}" srcOrd="0" destOrd="0" parTransId="{78F8455C-EDCA-4CC7-B245-557511F87A38}" sibTransId="{2D271789-8961-492D-9EC9-1EAC811B39CA}"/>
    <dgm:cxn modelId="{51D5587C-24AA-484F-958C-CB6E5C0A9B47}" type="presOf" srcId="{EF2569EA-C334-495E-8B5E-003155813273}" destId="{49CB5F8E-E308-4242-BB8B-9A019BC1B98E}" srcOrd="0" destOrd="0" presId="urn:microsoft.com/office/officeart/2005/8/layout/process1"/>
    <dgm:cxn modelId="{D6BEB57D-B620-440D-A982-1380BBD5F481}" type="presOf" srcId="{C99BB3BC-E1E6-4A62-ACDF-EF1EB65F6307}" destId="{7B432869-6469-4000-B7F3-2858DC742029}" srcOrd="0" destOrd="2" presId="urn:microsoft.com/office/officeart/2005/8/layout/process1"/>
    <dgm:cxn modelId="{B48C9289-7381-4960-B497-5361838EED95}" srcId="{EF2569EA-C334-495E-8B5E-003155813273}" destId="{908BD589-8286-4047-9950-66E4C766FC40}" srcOrd="0" destOrd="0" parTransId="{1341FC5C-14B6-4F0D-9E90-F4B1E1625E10}" sibTransId="{268B0025-B515-4727-85AB-C7BEC9E42DDA}"/>
    <dgm:cxn modelId="{DB279492-FA6B-4797-9E5D-C8D4D23A6531}" srcId="{CB3BDC6B-EFBE-4971-BBED-C29E5AEBA369}" destId="{1469429E-C732-4BDA-8C77-127F16302A2C}" srcOrd="1" destOrd="0" parTransId="{6930AA19-C756-46E1-A750-2BB908FC1C38}" sibTransId="{8EA40EBF-C15F-4804-A3E3-0F0A65D54FF4}"/>
    <dgm:cxn modelId="{77F7F398-6F92-49B3-B5E0-D52E3FFB9ACC}" type="presOf" srcId="{9FC33D93-541A-4D11-83BC-FA25AD5430FB}" destId="{E180FB4E-119E-4222-9309-2DE3B09F888A}" srcOrd="0" destOrd="2" presId="urn:microsoft.com/office/officeart/2005/8/layout/process1"/>
    <dgm:cxn modelId="{386CF9A0-6E89-4159-9FCA-D2590F137A72}" type="presOf" srcId="{2D271789-8961-492D-9EC9-1EAC811B39CA}" destId="{129CFF0E-ECBC-4F42-AFC0-4079EFD93671}" srcOrd="0" destOrd="0" presId="urn:microsoft.com/office/officeart/2005/8/layout/process1"/>
    <dgm:cxn modelId="{159590B9-9CF5-42ED-9FE6-9884C4486AB9}" type="presOf" srcId="{A116704E-AA26-4C59-97DD-1401DE27D282}" destId="{49CB5F8E-E308-4242-BB8B-9A019BC1B98E}" srcOrd="0" destOrd="2" presId="urn:microsoft.com/office/officeart/2005/8/layout/process1"/>
    <dgm:cxn modelId="{3C3540BC-4DA7-4B4E-B96E-05E23738CA96}" srcId="{EF2569EA-C334-495E-8B5E-003155813273}" destId="{808A9B78-0562-400F-81AE-1CDD42CE4D30}" srcOrd="2" destOrd="0" parTransId="{B1AE0E8C-EBB9-4901-99E6-E000C6F25DB3}" sibTransId="{26F2CAAF-821F-40F4-BC0F-8453C8CBE2A5}"/>
    <dgm:cxn modelId="{3786C6BC-E748-4860-BCA5-B4283C51F6F8}" srcId="{7EBD5A4E-412A-4AC3-8223-BDADD53E8D73}" destId="{C99BB3BC-E1E6-4A62-ACDF-EF1EB65F6307}" srcOrd="1" destOrd="0" parTransId="{9E8876F0-A1CB-4E2B-93A8-05B9B1470ED7}" sibTransId="{DEC4F916-5455-4B7B-929F-B4E105C1F4FC}"/>
    <dgm:cxn modelId="{3E1C88BF-B387-4218-B667-9A4B11B6A778}" srcId="{CB3BDC6B-EFBE-4971-BBED-C29E5AEBA369}" destId="{B6923F16-6BAD-4B63-B93E-0F4257745B76}" srcOrd="3" destOrd="0" parTransId="{7A5C5FC7-ED48-444B-93CC-C3BF632AB542}" sibTransId="{F5581792-564A-45B2-935D-3512D45F1548}"/>
    <dgm:cxn modelId="{991EC5BF-C578-47FB-B90C-90E1CAC5E541}" type="presOf" srcId="{8EA40EBF-C15F-4804-A3E3-0F0A65D54FF4}" destId="{928A120C-6E94-4A3A-9AA4-E17F3B3689FE}" srcOrd="1" destOrd="0" presId="urn:microsoft.com/office/officeart/2005/8/layout/process1"/>
    <dgm:cxn modelId="{787EFCC1-F3B5-46F5-91C2-D335A0C4B119}" type="presOf" srcId="{B6923F16-6BAD-4B63-B93E-0F4257745B76}" destId="{6341D35F-0E1F-4207-A04C-F55809F52F87}" srcOrd="0" destOrd="0" presId="urn:microsoft.com/office/officeart/2005/8/layout/process1"/>
    <dgm:cxn modelId="{8978DDCE-FD9C-4258-B5C5-250816D48DA0}" srcId="{1469429E-C732-4BDA-8C77-127F16302A2C}" destId="{9FC33D93-541A-4D11-83BC-FA25AD5430FB}" srcOrd="1" destOrd="0" parTransId="{C06236FE-CC37-41A8-BFD4-1DAECD7FFD0F}" sibTransId="{7EF33B1E-5AE4-4CD0-A9F9-B3949A2D10B2}"/>
    <dgm:cxn modelId="{DA4456D1-6731-4C9C-A9BC-5EC26053CBF9}" srcId="{CB3BDC6B-EFBE-4971-BBED-C29E5AEBA369}" destId="{C0CAF86E-557E-43EB-94B1-DED05E8E37D0}" srcOrd="4" destOrd="0" parTransId="{8C518625-96FA-4069-A3DC-974A65052971}" sibTransId="{A37DF634-5A4A-40D7-8AEF-8FA4AE6234D0}"/>
    <dgm:cxn modelId="{905453E0-A535-4239-AB14-D006BCB5FBB9}" type="presOf" srcId="{F0DA277A-86F7-4902-8C5A-E524BD767123}" destId="{6341D35F-0E1F-4207-A04C-F55809F52F87}" srcOrd="0" destOrd="1" presId="urn:microsoft.com/office/officeart/2005/8/layout/process1"/>
    <dgm:cxn modelId="{2B67AFE0-A74D-43FB-A892-6726468F67B2}" type="presOf" srcId="{CA93B847-C9E6-4BB3-8C06-084EEA45E7E6}" destId="{7B432869-6469-4000-B7F3-2858DC742029}" srcOrd="0" destOrd="1" presId="urn:microsoft.com/office/officeart/2005/8/layout/process1"/>
    <dgm:cxn modelId="{333ED6E1-6247-4E1E-9081-4ABE8BBDBA86}" type="presOf" srcId="{808A9B78-0562-400F-81AE-1CDD42CE4D30}" destId="{49CB5F8E-E308-4242-BB8B-9A019BC1B98E}" srcOrd="0" destOrd="3" presId="urn:microsoft.com/office/officeart/2005/8/layout/process1"/>
    <dgm:cxn modelId="{AA9491EA-3FF8-4F63-A39F-A47605B7C1D9}" srcId="{1469429E-C732-4BDA-8C77-127F16302A2C}" destId="{7FE0A116-DB03-47A5-8505-4A6DE846B822}" srcOrd="0" destOrd="0" parTransId="{1D211147-4A33-4BB9-8BE5-4AE163133A68}" sibTransId="{F2F6FE83-DC83-42DB-814D-53AA9C2A8ED0}"/>
    <dgm:cxn modelId="{41DA4FF2-DC41-4E39-B988-3534DEF36E62}" srcId="{EF2569EA-C334-495E-8B5E-003155813273}" destId="{A116704E-AA26-4C59-97DD-1401DE27D282}" srcOrd="1" destOrd="0" parTransId="{B81D6F7C-584E-4AB6-9924-7BBADC316E95}" sibTransId="{D22B08C4-E7A3-4A8F-A7BD-C0E2E45505AB}"/>
    <dgm:cxn modelId="{3B4258F5-DD13-4C6A-A949-472010C05650}" type="presOf" srcId="{F5581792-564A-45B2-935D-3512D45F1548}" destId="{92EF08D8-6E47-4242-BB67-5DE780BADFFA}" srcOrd="0" destOrd="0" presId="urn:microsoft.com/office/officeart/2005/8/layout/process1"/>
    <dgm:cxn modelId="{EAB3F6F6-925C-4DCA-8FB6-3D862AA9DE59}" type="presOf" srcId="{EB5DF84A-9672-4173-A04E-90DC0D5D1537}" destId="{FA987442-E835-47E1-89C2-1A60717E7EC8}" srcOrd="0" destOrd="0" presId="urn:microsoft.com/office/officeart/2005/8/layout/process1"/>
    <dgm:cxn modelId="{EBFA0FF9-A18C-4590-9D36-5B366C01123E}" type="presOf" srcId="{7EBD5A4E-412A-4AC3-8223-BDADD53E8D73}" destId="{7B432869-6469-4000-B7F3-2858DC742029}" srcOrd="0" destOrd="0" presId="urn:microsoft.com/office/officeart/2005/8/layout/process1"/>
    <dgm:cxn modelId="{1F1967FD-8779-4C65-AD29-A1013A6F1E3A}" type="presOf" srcId="{7020D1DA-0F10-451A-97F7-23C05D440892}" destId="{6700A1BE-6BD2-459A-AA3F-268174669BF5}" srcOrd="0" destOrd="1" presId="urn:microsoft.com/office/officeart/2005/8/layout/process1"/>
    <dgm:cxn modelId="{1CE515FF-A33B-4B29-BD8A-4D7A4B5019D7}" type="presOf" srcId="{1469429E-C732-4BDA-8C77-127F16302A2C}" destId="{E180FB4E-119E-4222-9309-2DE3B09F888A}" srcOrd="0" destOrd="0" presId="urn:microsoft.com/office/officeart/2005/8/layout/process1"/>
    <dgm:cxn modelId="{DBAF94B8-33F9-4B16-AE73-DC9B83B55356}" type="presParOf" srcId="{1A846A15-4F0A-4A14-9EDE-55453CC4FB44}" destId="{7B432869-6469-4000-B7F3-2858DC742029}" srcOrd="0" destOrd="0" presId="urn:microsoft.com/office/officeart/2005/8/layout/process1"/>
    <dgm:cxn modelId="{D97A9F7E-9944-463E-9B73-109095653927}" type="presParOf" srcId="{1A846A15-4F0A-4A14-9EDE-55453CC4FB44}" destId="{129CFF0E-ECBC-4F42-AFC0-4079EFD93671}" srcOrd="1" destOrd="0" presId="urn:microsoft.com/office/officeart/2005/8/layout/process1"/>
    <dgm:cxn modelId="{07CB164D-C6BD-4C1E-BDBA-ECE1409FFA72}" type="presParOf" srcId="{129CFF0E-ECBC-4F42-AFC0-4079EFD93671}" destId="{C63CFCF7-40E7-4FD2-B4F5-31E23DA4350C}" srcOrd="0" destOrd="0" presId="urn:microsoft.com/office/officeart/2005/8/layout/process1"/>
    <dgm:cxn modelId="{76CBA2BA-4231-46E2-A3AA-42D1F827FB63}" type="presParOf" srcId="{1A846A15-4F0A-4A14-9EDE-55453CC4FB44}" destId="{E180FB4E-119E-4222-9309-2DE3B09F888A}" srcOrd="2" destOrd="0" presId="urn:microsoft.com/office/officeart/2005/8/layout/process1"/>
    <dgm:cxn modelId="{17F9BDF4-1A8A-4253-A4EF-C660B2F4132A}" type="presParOf" srcId="{1A846A15-4F0A-4A14-9EDE-55453CC4FB44}" destId="{DF138F30-F719-4DA5-9A12-14876C756307}" srcOrd="3" destOrd="0" presId="urn:microsoft.com/office/officeart/2005/8/layout/process1"/>
    <dgm:cxn modelId="{1305163E-270C-41AB-8143-7E9A43309E6A}" type="presParOf" srcId="{DF138F30-F719-4DA5-9A12-14876C756307}" destId="{928A120C-6E94-4A3A-9AA4-E17F3B3689FE}" srcOrd="0" destOrd="0" presId="urn:microsoft.com/office/officeart/2005/8/layout/process1"/>
    <dgm:cxn modelId="{40477D1F-E973-4F78-B12C-522245A4DABF}" type="presParOf" srcId="{1A846A15-4F0A-4A14-9EDE-55453CC4FB44}" destId="{49CB5F8E-E308-4242-BB8B-9A019BC1B98E}" srcOrd="4" destOrd="0" presId="urn:microsoft.com/office/officeart/2005/8/layout/process1"/>
    <dgm:cxn modelId="{812C54A0-34D0-4AD4-AC46-3479FFA68F2B}" type="presParOf" srcId="{1A846A15-4F0A-4A14-9EDE-55453CC4FB44}" destId="{FA987442-E835-47E1-89C2-1A60717E7EC8}" srcOrd="5" destOrd="0" presId="urn:microsoft.com/office/officeart/2005/8/layout/process1"/>
    <dgm:cxn modelId="{AF8F7E57-62F2-49C4-AC8B-5387C05BCCFF}" type="presParOf" srcId="{FA987442-E835-47E1-89C2-1A60717E7EC8}" destId="{09B0D6DE-AEE3-443A-BC6B-ED2D2CFF1311}" srcOrd="0" destOrd="0" presId="urn:microsoft.com/office/officeart/2005/8/layout/process1"/>
    <dgm:cxn modelId="{825F6C97-4602-4F1B-A5D6-A175CC48340A}" type="presParOf" srcId="{1A846A15-4F0A-4A14-9EDE-55453CC4FB44}" destId="{6341D35F-0E1F-4207-A04C-F55809F52F87}" srcOrd="6" destOrd="0" presId="urn:microsoft.com/office/officeart/2005/8/layout/process1"/>
    <dgm:cxn modelId="{8C67E039-3970-4F25-9B8B-BCBB59246D98}" type="presParOf" srcId="{1A846A15-4F0A-4A14-9EDE-55453CC4FB44}" destId="{92EF08D8-6E47-4242-BB67-5DE780BADFFA}" srcOrd="7" destOrd="0" presId="urn:microsoft.com/office/officeart/2005/8/layout/process1"/>
    <dgm:cxn modelId="{9F483CD5-919D-4E8B-BFF1-D2EBDDF26FB8}" type="presParOf" srcId="{92EF08D8-6E47-4242-BB67-5DE780BADFFA}" destId="{13B4FD4E-FAEE-411F-9890-C8A17749349B}" srcOrd="0" destOrd="0" presId="urn:microsoft.com/office/officeart/2005/8/layout/process1"/>
    <dgm:cxn modelId="{466D77CF-9396-4DEA-86E8-DF8E44B6B9D2}" type="presParOf" srcId="{1A846A15-4F0A-4A14-9EDE-55453CC4FB44}" destId="{6700A1BE-6BD2-459A-AA3F-268174669BF5}" srcOrd="8"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432869-6469-4000-B7F3-2858DC742029}">
      <dsp:nvSpPr>
        <dsp:cNvPr id="0" name=""/>
        <dsp:cNvSpPr/>
      </dsp:nvSpPr>
      <dsp:spPr>
        <a:xfrm>
          <a:off x="12427" y="168212"/>
          <a:ext cx="899666" cy="134949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kern="1200"/>
            <a:t>2004</a:t>
          </a:r>
        </a:p>
        <a:p>
          <a:pPr marL="57150" lvl="1" indent="-57150" algn="l" defTabSz="355600">
            <a:lnSpc>
              <a:spcPct val="90000"/>
            </a:lnSpc>
            <a:spcBef>
              <a:spcPct val="0"/>
            </a:spcBef>
            <a:spcAft>
              <a:spcPct val="15000"/>
            </a:spcAft>
            <a:buChar char="•"/>
          </a:pPr>
          <a:r>
            <a:rPr lang="en-US" sz="800" kern="1200"/>
            <a:t>2003 King County inventory published</a:t>
          </a:r>
        </a:p>
        <a:p>
          <a:pPr marL="57150" lvl="1" indent="-57150" algn="l" defTabSz="355600">
            <a:lnSpc>
              <a:spcPct val="90000"/>
            </a:lnSpc>
            <a:spcBef>
              <a:spcPct val="0"/>
            </a:spcBef>
            <a:spcAft>
              <a:spcPct val="15000"/>
            </a:spcAft>
            <a:buChar char="•"/>
          </a:pPr>
          <a:r>
            <a:rPr lang="en-US" sz="800" kern="1200"/>
            <a:t>Government and g</a:t>
          </a:r>
          <a:r>
            <a:rPr lang="en-US" sz="800" kern="1200">
              <a:solidFill>
                <a:schemeClr val="bg1"/>
              </a:solidFill>
            </a:rPr>
            <a:t>eographic- plus inventory</a:t>
          </a:r>
        </a:p>
      </dsp:txBody>
      <dsp:txXfrm>
        <a:off x="38777" y="194562"/>
        <a:ext cx="846966" cy="1296799"/>
      </dsp:txXfrm>
    </dsp:sp>
    <dsp:sp modelId="{129CFF0E-ECBC-4F42-AFC0-4079EFD93671}">
      <dsp:nvSpPr>
        <dsp:cNvPr id="0" name=""/>
        <dsp:cNvSpPr/>
      </dsp:nvSpPr>
      <dsp:spPr>
        <a:xfrm>
          <a:off x="999679" y="731403"/>
          <a:ext cx="185680" cy="22311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999679" y="776026"/>
        <a:ext cx="129976" cy="133871"/>
      </dsp:txXfrm>
    </dsp:sp>
    <dsp:sp modelId="{E180FB4E-119E-4222-9309-2DE3B09F888A}">
      <dsp:nvSpPr>
        <dsp:cNvPr id="0" name=""/>
        <dsp:cNvSpPr/>
      </dsp:nvSpPr>
      <dsp:spPr>
        <a:xfrm>
          <a:off x="1262434" y="168212"/>
          <a:ext cx="899666" cy="134949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kern="1200"/>
            <a:t>2012</a:t>
          </a:r>
        </a:p>
        <a:p>
          <a:pPr marL="57150" lvl="1" indent="-57150" algn="l" defTabSz="355600">
            <a:lnSpc>
              <a:spcPct val="90000"/>
            </a:lnSpc>
            <a:spcBef>
              <a:spcPct val="0"/>
            </a:spcBef>
            <a:spcAft>
              <a:spcPct val="15000"/>
            </a:spcAft>
            <a:buChar char="•"/>
          </a:pPr>
          <a:r>
            <a:rPr lang="en-US" sz="800" kern="1200"/>
            <a:t>2008 inventory published</a:t>
          </a:r>
        </a:p>
        <a:p>
          <a:pPr marL="57150" lvl="1" indent="-57150" algn="l" defTabSz="355600">
            <a:lnSpc>
              <a:spcPct val="90000"/>
            </a:lnSpc>
            <a:spcBef>
              <a:spcPct val="0"/>
            </a:spcBef>
            <a:spcAft>
              <a:spcPct val="15000"/>
            </a:spcAft>
            <a:buChar char="•"/>
          </a:pPr>
          <a:r>
            <a:rPr lang="en-US" sz="800" kern="1200"/>
            <a:t>Geographic-plus and consumption-based inventories</a:t>
          </a:r>
        </a:p>
      </dsp:txBody>
      <dsp:txXfrm>
        <a:off x="1288784" y="194562"/>
        <a:ext cx="846966" cy="1296799"/>
      </dsp:txXfrm>
    </dsp:sp>
    <dsp:sp modelId="{DF138F30-F719-4DA5-9A12-14876C756307}">
      <dsp:nvSpPr>
        <dsp:cNvPr id="0" name=""/>
        <dsp:cNvSpPr/>
      </dsp:nvSpPr>
      <dsp:spPr>
        <a:xfrm>
          <a:off x="2252067" y="731403"/>
          <a:ext cx="190729" cy="22311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252067" y="776026"/>
        <a:ext cx="133510" cy="133871"/>
      </dsp:txXfrm>
    </dsp:sp>
    <dsp:sp modelId="{49CB5F8E-E308-4242-BB8B-9A019BC1B98E}">
      <dsp:nvSpPr>
        <dsp:cNvPr id="0" name=""/>
        <dsp:cNvSpPr/>
      </dsp:nvSpPr>
      <dsp:spPr>
        <a:xfrm>
          <a:off x="2521966" y="168212"/>
          <a:ext cx="899666" cy="134949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kern="1200"/>
            <a:t>2012</a:t>
          </a:r>
        </a:p>
        <a:p>
          <a:pPr marL="57150" lvl="1" indent="-57150" algn="l" defTabSz="355600">
            <a:lnSpc>
              <a:spcPct val="90000"/>
            </a:lnSpc>
            <a:spcBef>
              <a:spcPct val="0"/>
            </a:spcBef>
            <a:spcAft>
              <a:spcPct val="15000"/>
            </a:spcAft>
            <a:buChar char="•"/>
          </a:pPr>
          <a:r>
            <a:rPr lang="en-US" sz="800" kern="1200"/>
            <a:t>2010 inventory published</a:t>
          </a:r>
        </a:p>
        <a:p>
          <a:pPr marL="57150" lvl="1" indent="-57150" algn="l" defTabSz="355600">
            <a:lnSpc>
              <a:spcPct val="90000"/>
            </a:lnSpc>
            <a:spcBef>
              <a:spcPct val="0"/>
            </a:spcBef>
            <a:spcAft>
              <a:spcPct val="15000"/>
            </a:spcAft>
            <a:buChar char="•"/>
          </a:pPr>
          <a:r>
            <a:rPr lang="en-US" sz="800" kern="1200"/>
            <a:t>Core emissions inventory</a:t>
          </a:r>
        </a:p>
        <a:p>
          <a:pPr marL="57150" lvl="1" indent="-57150" algn="l" defTabSz="355600">
            <a:lnSpc>
              <a:spcPct val="90000"/>
            </a:lnSpc>
            <a:spcBef>
              <a:spcPct val="0"/>
            </a:spcBef>
            <a:spcAft>
              <a:spcPct val="15000"/>
            </a:spcAft>
            <a:buChar char="•"/>
          </a:pPr>
          <a:endParaRPr lang="en-US" sz="800" kern="1200"/>
        </a:p>
      </dsp:txBody>
      <dsp:txXfrm>
        <a:off x="2548316" y="194562"/>
        <a:ext cx="846966" cy="1296799"/>
      </dsp:txXfrm>
    </dsp:sp>
    <dsp:sp modelId="{FA987442-E835-47E1-89C2-1A60717E7EC8}">
      <dsp:nvSpPr>
        <dsp:cNvPr id="0" name=""/>
        <dsp:cNvSpPr/>
      </dsp:nvSpPr>
      <dsp:spPr>
        <a:xfrm>
          <a:off x="3511599" y="731403"/>
          <a:ext cx="190729" cy="223117"/>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511599" y="776026"/>
        <a:ext cx="133510" cy="133871"/>
      </dsp:txXfrm>
    </dsp:sp>
    <dsp:sp modelId="{6341D35F-0E1F-4207-A04C-F55809F52F87}">
      <dsp:nvSpPr>
        <dsp:cNvPr id="0" name=""/>
        <dsp:cNvSpPr/>
      </dsp:nvSpPr>
      <dsp:spPr>
        <a:xfrm>
          <a:off x="3781499" y="168212"/>
          <a:ext cx="899666" cy="134949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kern="1200"/>
            <a:t>2015</a:t>
          </a:r>
        </a:p>
        <a:p>
          <a:pPr marL="57150" lvl="1" indent="-57150" algn="l" defTabSz="355600">
            <a:lnSpc>
              <a:spcPct val="90000"/>
            </a:lnSpc>
            <a:spcBef>
              <a:spcPct val="0"/>
            </a:spcBef>
            <a:spcAft>
              <a:spcPct val="15000"/>
            </a:spcAft>
            <a:buChar char="•"/>
          </a:pPr>
          <a:r>
            <a:rPr lang="en-US" sz="800" kern="1200"/>
            <a:t>Approves Climate Action Plan with 5-year objective to reduce emissions 25% below 2007</a:t>
          </a:r>
        </a:p>
      </dsp:txBody>
      <dsp:txXfrm>
        <a:off x="3807849" y="194562"/>
        <a:ext cx="846966" cy="1296799"/>
      </dsp:txXfrm>
    </dsp:sp>
    <dsp:sp modelId="{92EF08D8-6E47-4242-BB67-5DE780BADFFA}">
      <dsp:nvSpPr>
        <dsp:cNvPr id="0" name=""/>
        <dsp:cNvSpPr/>
      </dsp:nvSpPr>
      <dsp:spPr>
        <a:xfrm>
          <a:off x="4771132" y="731403"/>
          <a:ext cx="190729" cy="22311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771132" y="776026"/>
        <a:ext cx="133510" cy="133871"/>
      </dsp:txXfrm>
    </dsp:sp>
    <dsp:sp modelId="{6700A1BE-6BD2-459A-AA3F-268174669BF5}">
      <dsp:nvSpPr>
        <dsp:cNvPr id="0" name=""/>
        <dsp:cNvSpPr/>
      </dsp:nvSpPr>
      <dsp:spPr>
        <a:xfrm>
          <a:off x="5041031" y="168212"/>
          <a:ext cx="899666" cy="134949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kern="1200"/>
            <a:t>2017</a:t>
          </a:r>
        </a:p>
        <a:p>
          <a:pPr marL="57150" lvl="1" indent="-57150" algn="l" defTabSz="355600">
            <a:lnSpc>
              <a:spcPct val="90000"/>
            </a:lnSpc>
            <a:spcBef>
              <a:spcPct val="0"/>
            </a:spcBef>
            <a:spcAft>
              <a:spcPct val="15000"/>
            </a:spcAft>
            <a:buChar char="•"/>
          </a:pPr>
          <a:r>
            <a:rPr lang="en-US" sz="800" kern="1200"/>
            <a:t>2015 inventory published</a:t>
          </a:r>
        </a:p>
        <a:p>
          <a:pPr marL="57150" lvl="1" indent="-57150" algn="l" defTabSz="355600">
            <a:lnSpc>
              <a:spcPct val="90000"/>
            </a:lnSpc>
            <a:spcBef>
              <a:spcPct val="0"/>
            </a:spcBef>
            <a:spcAft>
              <a:spcPct val="15000"/>
            </a:spcAft>
            <a:buChar char="•"/>
          </a:pPr>
          <a:r>
            <a:rPr lang="en-US" sz="800" kern="1200"/>
            <a:t>Geographic-plus and consumption-based inventories</a:t>
          </a:r>
        </a:p>
      </dsp:txBody>
      <dsp:txXfrm>
        <a:off x="5067381" y="194562"/>
        <a:ext cx="846966" cy="129679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ascadia2016">
      <a:dk1>
        <a:sysClr val="windowText" lastClr="000000"/>
      </a:dk1>
      <a:lt1>
        <a:sysClr val="window" lastClr="FFFFFF"/>
      </a:lt1>
      <a:dk2>
        <a:srgbClr val="5E695E"/>
      </a:dk2>
      <a:lt2>
        <a:srgbClr val="CED665"/>
      </a:lt2>
      <a:accent1>
        <a:srgbClr val="9D9272"/>
      </a:accent1>
      <a:accent2>
        <a:srgbClr val="9FAFA5"/>
      </a:accent2>
      <a:accent3>
        <a:srgbClr val="94B7BC"/>
      </a:accent3>
      <a:accent4>
        <a:srgbClr val="6E5E52"/>
      </a:accent4>
      <a:accent5>
        <a:srgbClr val="CD7E3E"/>
      </a:accent5>
      <a:accent6>
        <a:srgbClr val="F1B828"/>
      </a:accent6>
      <a:hlink>
        <a:srgbClr val="5E695E"/>
      </a:hlink>
      <a:folHlink>
        <a:srgbClr val="5E695E"/>
      </a:folHlink>
    </a:clrScheme>
    <a:fontScheme name="Cascadia2016">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accent3">
            <a:lumMod val="20000"/>
            <a:lumOff val="80000"/>
          </a:schemeClr>
        </a:solidFill>
        <a:ln w="19050">
          <a:noFill/>
          <a:miter lim="800000"/>
          <a:headEnd/>
          <a:tailEnd/>
        </a:ln>
        <a:effectLst>
          <a:outerShdw blurRad="50800" dist="38100" dir="2700000" sx="100500" sy="100500" algn="tl" rotWithShape="0">
            <a:prstClr val="black">
              <a:alpha val="40000"/>
            </a:prstClr>
          </a:outerShdw>
        </a:effectLst>
      </a:spPr>
      <a:bodyPr rot="0" vert="horz" wrap="square" lIns="109728" tIns="109728" rIns="109728" bIns="109728" anchor="ctr" anchorCtr="0">
        <a:sp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922FC59429F04B86035E90D4112882" ma:contentTypeVersion="0" ma:contentTypeDescription="Create a new document." ma:contentTypeScope="" ma:versionID="1868b02bac8e7f58f147b7cbc81eab35">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USD14</b:Tag>
    <b:SourceType>BookSection</b:SourceType>
    <b:Guid>{C5397FC7-20C3-4B49-95B2-54984214C3CA}</b:Guid>
    <b:Author>
      <b:Author>
        <b:Corporate>U.S. Department of Agriculture</b:Corporate>
      </b:Author>
    </b:Author>
    <b:Title>Washington State and County Data</b:Title>
    <b:Year>2014</b:Year>
    <b:BookTitle>2012 Census of Agriculture</b:BookTitle>
    <b:Volume>1</b:Volume>
    <b:ChapterNumber>47</b:ChapterNumber>
    <b:RefOrder>10</b:RefOrder>
  </b:Source>
  <b:Source>
    <b:Tag>Was15</b:Tag>
    <b:SourceType>Report</b:SourceType>
    <b:Guid>{A0BC991A-4EE2-4C5B-A375-2295545A37C7}</b:Guid>
    <b:Title>2015 Fuel Mix Disclosure Data</b:Title>
    <b:Year>2015</b:Year>
    <b:Author>
      <b:Author>
        <b:Corporate>Washington State Department of Commerce</b:Corporate>
      </b:Author>
    </b:Author>
    <b:RefOrder>4</b:RefOrder>
  </b:Source>
  <b:Source>
    <b:Tag>Pug12</b:Tag>
    <b:SourceType>Report</b:SourceType>
    <b:Guid>{099BD652-251A-4E18-ABB6-054FC64C86AC}</b:Guid>
    <b:Title>Puget Soound Maritime Air Emissions Inventory</b:Title>
    <b:Year>2012</b:Year>
    <b:Author>
      <b:Author>
        <b:Corporate>Puget Sound Clean Air Agency</b:Corporate>
      </b:Author>
    </b:Author>
    <b:RefOrder>2</b:RefOrder>
  </b:Source>
  <b:Source>
    <b:Tag>Was151</b:Tag>
    <b:SourceType>Report</b:SourceType>
    <b:Guid>{5DF3AF1E-2A3E-409C-8F5E-68DAED1E3567}</b:Guid>
    <b:Author>
      <b:Author>
        <b:Corporate>Washington State Department of Transportation</b:Corporate>
      </b:Author>
    </b:Author>
    <b:Title>Washington State Ferries FY2015 Route Statements</b:Title>
    <b:Year>2015</b:Year>
    <b:RefOrder>3</b:RefOrder>
  </b:Source>
  <b:Source>
    <b:Tag>The15</b:Tag>
    <b:SourceType>InternetSite</b:SourceType>
    <b:Guid>{EDA3D192-3068-45C2-BBD9-8ED3A5571A13}</b:Guid>
    <b:Title>CRIS Public Reports</b:Title>
    <b:Year>2015</b:Year>
    <b:Author>
      <b:Author>
        <b:Corporate>The Climate Registry</b:Corporate>
      </b:Author>
    </b:Author>
    <b:InternetSiteTitle>The Climate Registry</b:InternetSiteTitle>
    <b:Month>May</b:Month>
    <b:URL>https://www.theclimateregistry.org/our-members/cris-public-reports/</b:URL>
    <b:RefOrder>5</b:RefOrder>
  </b:Source>
  <b:Source>
    <b:Tag>Loc13</b:Tag>
    <b:SourceType>Report</b:SourceType>
    <b:Guid>{1F17DF5E-9ABD-482B-ABC0-532BBFD1DA28}</b:Guid>
    <b:Author>
      <b:Author>
        <b:Corporate>Local Governments for Sustainability USA</b:Corporate>
      </b:Author>
    </b:Author>
    <b:Title>U.S. Community Protocol for Accounting and Reporting of Greenhouse Gas Emissions</b:Title>
    <b:Year>2013</b:Year>
    <b:RefOrder>9</b:RefOrder>
  </b:Source>
  <b:Source>
    <b:Tag>Cov14</b:Tag>
    <b:SourceType>Report</b:SourceType>
    <b:Guid>{6FA67EC3-AF07-4669-9269-89F55EBBCC20}</b:Guid>
    <b:Author>
      <b:Author>
        <b:NameList>
          <b:Person>
            <b:Last>Coven</b:Last>
            <b:First>Jessica</b:First>
            <b:Middle>F</b:Middle>
          </b:Person>
          <b:Person>
            <b:Last>Morgenstern</b:Last>
            <b:First>T</b:First>
          </b:Person>
          <b:Person>
            <b:Last>Mallory</b:Last>
            <b:First>S</b:First>
          </b:Person>
          <b:Person>
            <b:Last>Erickson</b:Last>
            <b:First>P</b:First>
          </b:Person>
          <b:Person>
            <b:Last>Down</b:Last>
            <b:First>A</b:First>
          </b:Person>
          <b:Person>
            <b:Last>Broekhoff</b:Last>
            <b:First>D</b:First>
          </b:Person>
        </b:NameList>
      </b:Author>
    </b:Author>
    <b:Title>Seattle Community Greenhouse Gas Emissions Inventory</b:Title>
    <b:Year>2014</b:Year>
    <b:RefOrder>8</b:RefOrder>
  </b:Source>
  <b:Source>
    <b:Tag>USE15</b:Tag>
    <b:SourceType>InternetSite</b:SourceType>
    <b:Guid>{F68D33DC-0864-46DD-833C-5B2FE89A5056}</b:Guid>
    <b:Title>Sales of Distillate Fuel Oil by End Use</b:Title>
    <b:Year>2015</b:Year>
    <b:Author>
      <b:Author>
        <b:Corporate>U.S. Energy Information Administration</b:Corporate>
      </b:Author>
    </b:Author>
    <b:InternetSiteTitle>Petroleum and Other Liquids</b:InternetSiteTitle>
    <b:Month>May</b:Month>
    <b:URL>https://www.eia.gov/dnav/pet/pet_cons_821dst_dcu_swa_a.htm</b:URL>
    <b:RefOrder>6</b:RefOrder>
  </b:Source>
  <b:Source>
    <b:Tag>USE08</b:Tag>
    <b:SourceType>Report</b:SourceType>
    <b:Guid>{F207A3FB-775F-43A3-9D51-4E660B09D4FE}</b:Guid>
    <b:Title>Inventory of U.S. Greenhouse Gas Emissions and Sinks:1990-2006</b:Title>
    <b:Year>2008</b:Year>
    <b:Author>
      <b:Author>
        <b:Corporate>U.S. Environmental Protection Agency</b:Corporate>
      </b:Author>
    </b:Author>
    <b:RefOrder>11</b:RefOrder>
  </b:Source>
  <b:Source>
    <b:Tag>Kin17</b:Tag>
    <b:SourceType>InternetSite</b:SourceType>
    <b:Guid>{1BBF7282-EF7B-4FF0-BF47-FE507B8DA1BB}</b:Guid>
    <b:Author>
      <b:Author>
        <b:Corporate>King County</b:Corporate>
      </b:Author>
    </b:Author>
    <b:Title>Assessments Data Download</b:Title>
    <b:InternetSiteTitle>King County Department of Assessments</b:InternetSiteTitle>
    <b:Year>2017</b:Year>
    <b:Month>May</b:Month>
    <b:URL>http://info.kingcounty.gov/assessor/DataDownload/default.aspx</b:URL>
    <b:RefOrder>12</b:RefOrder>
  </b:Source>
  <b:Source>
    <b:Tag>Kin15</b:Tag>
    <b:SourceType>InternetSite</b:SourceType>
    <b:Guid>{C2317864-69F3-4BC1-8E9D-A7EAADFE4A4A}</b:Guid>
    <b:Title>Documents- Waste monitoring and surveys</b:Title>
    <b:Year>2017</b:Year>
    <b:Author>
      <b:Author>
        <b:Corporate>King County</b:Corporate>
      </b:Author>
    </b:Author>
    <b:InternetSiteTitle>Solid Waste Division</b:InternetSiteTitle>
    <b:Month>May</b:Month>
    <b:URL>https://your.kingcounty.gov/solidwaste/about/waste_documents.asp</b:URL>
    <b:RefOrder>7</b:RefOrder>
  </b:Source>
  <b:Source>
    <b:Tag>Sea13</b:Tag>
    <b:SourceType>Report</b:SourceType>
    <b:Guid>{8D185381-05CB-40AC-9B10-669737F26F05}</b:Guid>
    <b:Title>2013 Water System Plan</b:Title>
    <b:Year>2012</b:Year>
    <b:Author>
      <b:Author>
        <b:Corporate>Seattle Public Utilities</b:Corporate>
      </b:Author>
    </b:Author>
    <b:RefOrder>14</b:RefOrder>
  </b:Source>
  <b:Source>
    <b:Tag>Kin171</b:Tag>
    <b:SourceType>InternetSite</b:SourceType>
    <b:Guid>{3C0525CD-5D53-4664-9784-33AA1BF401D9}</b:Guid>
    <b:Title>Wastewater Program</b:Title>
    <b:Year>2017</b:Year>
    <b:Author>
      <b:Author>
        <b:Corporate>King County</b:Corporate>
      </b:Author>
    </b:Author>
    <b:InternetSiteTitle>Publuic Health- Seattle and King County</b:InternetSiteTitle>
    <b:Month>May</b:Month>
    <b:URL>http://www.kingcounty.gov/depts/health/environmental-health/piping/onsite-sewage-systems.aspx</b:URL>
    <b:RefOrder>15</b:RefOrder>
  </b:Source>
  <b:Source>
    <b:Tag>Ryp01</b:Tag>
    <b:SourceType>BookSection</b:SourceType>
    <b:Guid>{55765C17-B5C6-4603-A6AA-81652D407F64}</b:Guid>
    <b:Author>
      <b:Author>
        <b:NameList>
          <b:Person>
            <b:Last>Rypdal</b:Last>
            <b:First>Kristin</b:First>
          </b:Person>
        </b:NameList>
      </b:Author>
      <b:BookAuthor>
        <b:NameList>
          <b:Person>
            <b:Last>IPCC</b:Last>
          </b:Person>
        </b:NameList>
      </b:BookAuthor>
    </b:Author>
    <b:Title>Aircraft Emissions</b:Title>
    <b:Year>2001</b:Year>
    <b:BookTitle>Good Practice Guidance and Uncertainty Management in National Greenhouse Gas Inventories</b:BookTitle>
    <b:RefOrder>13</b:RefOrder>
  </b:Source>
  <b:Source>
    <b:Tag>USE17</b:Tag>
    <b:SourceType>Report</b:SourceType>
    <b:Guid>{EC389ACE-6982-4593-B99D-A23512DA491C}</b:Guid>
    <b:Author>
      <b:Author>
        <b:Corporate>U.S. Environmental Protection Agency</b:Corporate>
      </b:Author>
    </b:Author>
    <b:Title>Inventory of U.S. Greenhouse Gas Emissions and Sinks 1990-2015</b:Title>
    <b:Year>2015</b:Year>
    <b:StandardNumber>EPA 430-P-17-001</b:StandardNumber>
    <b:RefOrder>1</b:RefOrder>
  </b:Source>
</b:Sources>
</file>

<file path=customXml/itemProps1.xml><?xml version="1.0" encoding="utf-8"?>
<ds:datastoreItem xmlns:ds="http://schemas.openxmlformats.org/officeDocument/2006/customXml" ds:itemID="{D4375B6F-2FAB-4DFB-921B-0F3BD092EF04}">
  <ds:schemaRefs>
    <ds:schemaRef ds:uri="http://schemas.microsoft.com/sharepoint/v3/contenttype/forms"/>
  </ds:schemaRefs>
</ds:datastoreItem>
</file>

<file path=customXml/itemProps2.xml><?xml version="1.0" encoding="utf-8"?>
<ds:datastoreItem xmlns:ds="http://schemas.openxmlformats.org/officeDocument/2006/customXml" ds:itemID="{9B422936-F684-4343-B86B-084E356951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1E6F68-D1D2-454A-8F2F-FFD929F93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24F17FE-1324-4D57-9A31-602697772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60</Pages>
  <Words>13195</Words>
  <Characters>75215</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King County</Company>
  <LinksUpToDate>false</LinksUpToDate>
  <CharactersWithSpaces>88234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Harmon</dc:creator>
  <cp:lastModifiedBy>Andrea Martin</cp:lastModifiedBy>
  <cp:revision>28</cp:revision>
  <dcterms:created xsi:type="dcterms:W3CDTF">2017-09-11T18:11:00Z</dcterms:created>
  <dcterms:modified xsi:type="dcterms:W3CDTF">2017-10-03T21:33:00Z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0x01010050922FC59429F04B86035E90D4112882</vt:lpwstr>
  </property>
</Properties>
</file>